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KNUST Engineering Data Analysis Report</w:t>
      </w:r>
    </w:p>
    <w:p>
      <w:r>
        <w:t>Date: February 13, 2026</w:t>
      </w:r>
    </w:p>
    <w:p>
      <w:r>
        <w:t>Generated by: AI Assistant</w:t>
      </w:r>
    </w:p>
    <w:p/>
    <w:p>
      <w:pPr>
        <w:pStyle w:val="Heading1"/>
      </w:pPr>
      <w:r>
        <w:t>1. Executive Summary</w:t>
      </w:r>
    </w:p>
    <w:p>
      <w:r>
        <w:t>This report provides a comprehensive analysis of student performance data for the College of Engineering. The dataset covers 7 academic years, involving 24,007 distinct students and 846 courses.</w:t>
        <w:br/>
        <w:br/>
        <w:t>Key observations include a stable average performance across the years, but a concerning upward trend in failure rates in recent academic sessions. Specific courses have been identified as significant hurdles for student progression.</w:t>
      </w:r>
    </w:p>
    <w:p>
      <w:pPr>
        <w:pStyle w:val="Heading1"/>
      </w:pPr>
      <w:r>
        <w:t>2. Academic Performance Trends</w:t>
      </w:r>
    </w:p>
    <w:p>
      <w:r>
        <w:t>The overall academic performance has remained relatively stable. The highest average mark of 66.92 was recorded in 2019/2020. However, the most recent academic year (2024/2025) shows an average mark of 62.68, which is slightly below the peak.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Academic Year</w:t>
            </w:r>
          </w:p>
        </w:tc>
        <w:tc>
          <w:tcPr>
            <w:tcW w:type="dxa" w:w="4320"/>
          </w:tcPr>
          <w:p>
            <w:r>
              <w:t>Average Mark</w:t>
            </w:r>
          </w:p>
        </w:tc>
      </w:tr>
      <w:tr>
        <w:tc>
          <w:tcPr>
            <w:tcW w:type="dxa" w:w="4320"/>
          </w:tcPr>
          <w:p>
            <w:r>
              <w:t>2018/2019</w:t>
            </w:r>
          </w:p>
        </w:tc>
        <w:tc>
          <w:tcPr>
            <w:tcW w:type="dxa" w:w="4320"/>
          </w:tcPr>
          <w:p>
            <w:r>
              <w:t>63.19</w:t>
            </w:r>
          </w:p>
        </w:tc>
      </w:tr>
      <w:tr>
        <w:tc>
          <w:tcPr>
            <w:tcW w:type="dxa" w:w="4320"/>
          </w:tcPr>
          <w:p>
            <w:r>
              <w:t>2019/2020</w:t>
            </w:r>
          </w:p>
        </w:tc>
        <w:tc>
          <w:tcPr>
            <w:tcW w:type="dxa" w:w="4320"/>
          </w:tcPr>
          <w:p>
            <w:r>
              <w:t>66.92</w:t>
            </w:r>
          </w:p>
        </w:tc>
      </w:tr>
      <w:tr>
        <w:tc>
          <w:tcPr>
            <w:tcW w:type="dxa" w:w="4320"/>
          </w:tcPr>
          <w:p>
            <w:r>
              <w:t>2020/2021</w:t>
            </w:r>
          </w:p>
        </w:tc>
        <w:tc>
          <w:tcPr>
            <w:tcW w:type="dxa" w:w="4320"/>
          </w:tcPr>
          <w:p>
            <w:r>
              <w:t>63.31</w:t>
            </w:r>
          </w:p>
        </w:tc>
      </w:tr>
      <w:tr>
        <w:tc>
          <w:tcPr>
            <w:tcW w:type="dxa" w:w="4320"/>
          </w:tcPr>
          <w:p>
            <w:r>
              <w:t>2021/2022</w:t>
            </w:r>
          </w:p>
        </w:tc>
        <w:tc>
          <w:tcPr>
            <w:tcW w:type="dxa" w:w="4320"/>
          </w:tcPr>
          <w:p>
            <w:r>
              <w:t>62.85</w:t>
            </w:r>
          </w:p>
        </w:tc>
      </w:tr>
      <w:tr>
        <w:tc>
          <w:tcPr>
            <w:tcW w:type="dxa" w:w="4320"/>
          </w:tcPr>
          <w:p>
            <w:r>
              <w:t>2022/2023</w:t>
            </w:r>
          </w:p>
        </w:tc>
        <w:tc>
          <w:tcPr>
            <w:tcW w:type="dxa" w:w="4320"/>
          </w:tcPr>
          <w:p>
            <w:r>
              <w:t>63.19</w:t>
            </w:r>
          </w:p>
        </w:tc>
      </w:tr>
      <w:tr>
        <w:tc>
          <w:tcPr>
            <w:tcW w:type="dxa" w:w="4320"/>
          </w:tcPr>
          <w:p>
            <w:r>
              <w:t>2023/2024</w:t>
            </w:r>
          </w:p>
        </w:tc>
        <w:tc>
          <w:tcPr>
            <w:tcW w:type="dxa" w:w="4320"/>
          </w:tcPr>
          <w:p>
            <w:r>
              <w:t>63.51</w:t>
            </w:r>
          </w:p>
        </w:tc>
      </w:tr>
      <w:tr>
        <w:tc>
          <w:tcPr>
            <w:tcW w:type="dxa" w:w="4320"/>
          </w:tcPr>
          <w:p>
            <w:r>
              <w:t>2024/2025</w:t>
            </w:r>
          </w:p>
        </w:tc>
        <w:tc>
          <w:tcPr>
            <w:tcW w:type="dxa" w:w="4320"/>
          </w:tcPr>
          <w:p>
            <w:r>
              <w:t>62.68</w:t>
            </w:r>
          </w:p>
        </w:tc>
      </w:tr>
    </w:tbl>
    <w:p/>
    <w:p>
      <w:pPr>
        <w:pStyle w:val="Heading1"/>
      </w:pPr>
      <w:r>
        <w:t>3. Critical Course Analysis</w:t>
      </w:r>
    </w:p>
    <w:p>
      <w:r>
        <w:t>The analysis identified the following courses as having the lowest pass rates, representing significant academic hurdles: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 Code</w:t>
            </w:r>
          </w:p>
        </w:tc>
        <w:tc>
          <w:tcPr>
            <w:tcW w:type="dxa" w:w="2880"/>
          </w:tcPr>
          <w:p>
            <w:r>
              <w:t>Course Name</w:t>
            </w:r>
          </w:p>
        </w:tc>
        <w:tc>
          <w:tcPr>
            <w:tcW w:type="dxa" w:w="2880"/>
          </w:tcPr>
          <w:p>
            <w:r>
              <w:t>Pass Rate (%)</w:t>
            </w:r>
          </w:p>
        </w:tc>
      </w:tr>
      <w:tr>
        <w:tc>
          <w:tcPr>
            <w:tcW w:type="dxa" w:w="2880"/>
          </w:tcPr>
          <w:p>
            <w:r>
              <w:t>MSE 251</w:t>
            </w:r>
          </w:p>
        </w:tc>
        <w:tc>
          <w:tcPr>
            <w:tcW w:type="dxa" w:w="2880"/>
          </w:tcPr>
          <w:p>
            <w:r>
              <w:t>MOMENTUM TRANSPORT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</w:tr>
      <w:tr>
        <w:tc>
          <w:tcPr>
            <w:tcW w:type="dxa" w:w="2880"/>
          </w:tcPr>
          <w:p>
            <w:r>
              <w:t>CHE 256</w:t>
            </w:r>
          </w:p>
        </w:tc>
        <w:tc>
          <w:tcPr>
            <w:tcW w:type="dxa" w:w="2880"/>
          </w:tcPr>
          <w:p>
            <w:r>
              <w:t>HEAT TRANSPORT PROCESSES</w:t>
            </w:r>
          </w:p>
        </w:tc>
        <w:tc>
          <w:tcPr>
            <w:tcW w:type="dxa" w:w="2880"/>
          </w:tcPr>
          <w:p>
            <w:r>
              <w:t>70.6%</w:t>
            </w:r>
          </w:p>
        </w:tc>
      </w:tr>
      <w:tr>
        <w:tc>
          <w:tcPr>
            <w:tcW w:type="dxa" w:w="2880"/>
          </w:tcPr>
          <w:p>
            <w:r>
              <w:t>PE 251</w:t>
            </w:r>
          </w:p>
        </w:tc>
        <w:tc>
          <w:tcPr>
            <w:tcW w:type="dxa" w:w="2880"/>
          </w:tcPr>
          <w:p>
            <w:r>
              <w:t>RESERVOIR ENGINEERING I</w:t>
            </w:r>
          </w:p>
        </w:tc>
        <w:tc>
          <w:tcPr>
            <w:tcW w:type="dxa" w:w="2880"/>
          </w:tcPr>
          <w:p>
            <w:r>
              <w:t>72.0%</w:t>
            </w:r>
          </w:p>
        </w:tc>
      </w:tr>
      <w:tr>
        <w:tc>
          <w:tcPr>
            <w:tcW w:type="dxa" w:w="2880"/>
          </w:tcPr>
          <w:p>
            <w:r>
              <w:t>ME 291</w:t>
            </w:r>
          </w:p>
        </w:tc>
        <w:tc>
          <w:tcPr>
            <w:tcW w:type="dxa" w:w="2880"/>
          </w:tcPr>
          <w:p>
            <w:r>
              <w:t>TECHNICAL REPORT WRITING AND PRESENTATION</w:t>
            </w:r>
          </w:p>
        </w:tc>
        <w:tc>
          <w:tcPr>
            <w:tcW w:type="dxa" w:w="2880"/>
          </w:tcPr>
          <w:p>
            <w:r>
              <w:t>77.2%</w:t>
            </w:r>
          </w:p>
        </w:tc>
      </w:tr>
      <w:tr>
        <w:tc>
          <w:tcPr>
            <w:tcW w:type="dxa" w:w="2880"/>
          </w:tcPr>
          <w:p>
            <w:r>
              <w:t>CE 259</w:t>
            </w:r>
          </w:p>
        </w:tc>
        <w:tc>
          <w:tcPr>
            <w:tcW w:type="dxa" w:w="2880"/>
          </w:tcPr>
          <w:p>
            <w:r>
              <w:t>ENGINEERING GEOLOGY</w:t>
            </w:r>
          </w:p>
        </w:tc>
        <w:tc>
          <w:tcPr>
            <w:tcW w:type="dxa" w:w="2880"/>
          </w:tcPr>
          <w:p>
            <w:r>
              <w:t>77.5%</w:t>
            </w:r>
          </w:p>
        </w:tc>
      </w:tr>
    </w:tbl>
    <w:p/>
    <w:p>
      <w:r>
        <w:t>Recommendation: A targeted review of the curriculum and teaching methods for MSE 251 (MOMENTUM TRANSPORT) is highly recommended given its low pass rate of 65.2%.</w:t>
      </w:r>
    </w:p>
    <w:p>
      <w:pPr>
        <w:pStyle w:val="Heading1"/>
      </w:pPr>
      <w:r>
        <w:t>4. Retention &amp; Attrition Risks</w:t>
      </w:r>
    </w:p>
    <w:p>
      <w:r>
        <w:t>Analysis of trail/failure rates indicates an increasing trend. The failure rate (proxy via trailed courses) has moved from 2.77% in 2018/2019 to 5.57% in 2024/2025.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Academic Year</w:t>
            </w:r>
          </w:p>
        </w:tc>
        <w:tc>
          <w:tcPr>
            <w:tcW w:type="dxa" w:w="4320"/>
          </w:tcPr>
          <w:p>
            <w:r>
              <w:t>Failure/Trail Rate (%)</w:t>
            </w:r>
          </w:p>
        </w:tc>
      </w:tr>
      <w:tr>
        <w:tc>
          <w:tcPr>
            <w:tcW w:type="dxa" w:w="4320"/>
          </w:tcPr>
          <w:p>
            <w:r>
              <w:t>2018/2019</w:t>
            </w:r>
          </w:p>
        </w:tc>
        <w:tc>
          <w:tcPr>
            <w:tcW w:type="dxa" w:w="4320"/>
          </w:tcPr>
          <w:p>
            <w:r>
              <w:t>2.77%</w:t>
            </w:r>
          </w:p>
        </w:tc>
      </w:tr>
      <w:tr>
        <w:tc>
          <w:tcPr>
            <w:tcW w:type="dxa" w:w="4320"/>
          </w:tcPr>
          <w:p>
            <w:r>
              <w:t>2019/2020</w:t>
            </w:r>
          </w:p>
        </w:tc>
        <w:tc>
          <w:tcPr>
            <w:tcW w:type="dxa" w:w="4320"/>
          </w:tcPr>
          <w:p>
            <w:r>
              <w:t>1.44%</w:t>
            </w:r>
          </w:p>
        </w:tc>
      </w:tr>
      <w:tr>
        <w:tc>
          <w:tcPr>
            <w:tcW w:type="dxa" w:w="4320"/>
          </w:tcPr>
          <w:p>
            <w:r>
              <w:t>2020/2021</w:t>
            </w:r>
          </w:p>
        </w:tc>
        <w:tc>
          <w:tcPr>
            <w:tcW w:type="dxa" w:w="4320"/>
          </w:tcPr>
          <w:p>
            <w:r>
              <w:t>2.86%</w:t>
            </w:r>
          </w:p>
        </w:tc>
      </w:tr>
      <w:tr>
        <w:tc>
          <w:tcPr>
            <w:tcW w:type="dxa" w:w="4320"/>
          </w:tcPr>
          <w:p>
            <w:r>
              <w:t>2021/2022</w:t>
            </w:r>
          </w:p>
        </w:tc>
        <w:tc>
          <w:tcPr>
            <w:tcW w:type="dxa" w:w="4320"/>
          </w:tcPr>
          <w:p>
            <w:r>
              <w:t>3.57%</w:t>
            </w:r>
          </w:p>
        </w:tc>
      </w:tr>
      <w:tr>
        <w:tc>
          <w:tcPr>
            <w:tcW w:type="dxa" w:w="4320"/>
          </w:tcPr>
          <w:p>
            <w:r>
              <w:t>2022/2023</w:t>
            </w:r>
          </w:p>
        </w:tc>
        <w:tc>
          <w:tcPr>
            <w:tcW w:type="dxa" w:w="4320"/>
          </w:tcPr>
          <w:p>
            <w:r>
              <w:t>4.08%</w:t>
            </w:r>
          </w:p>
        </w:tc>
      </w:tr>
      <w:tr>
        <w:tc>
          <w:tcPr>
            <w:tcW w:type="dxa" w:w="4320"/>
          </w:tcPr>
          <w:p>
            <w:r>
              <w:t>2023/2024</w:t>
            </w:r>
          </w:p>
        </w:tc>
        <w:tc>
          <w:tcPr>
            <w:tcW w:type="dxa" w:w="4320"/>
          </w:tcPr>
          <w:p>
            <w:r>
              <w:t>3.98%</w:t>
            </w:r>
          </w:p>
        </w:tc>
      </w:tr>
      <w:tr>
        <w:tc>
          <w:tcPr>
            <w:tcW w:type="dxa" w:w="4320"/>
          </w:tcPr>
          <w:p>
            <w:r>
              <w:t>2024/2025</w:t>
            </w:r>
          </w:p>
        </w:tc>
        <w:tc>
          <w:tcPr>
            <w:tcW w:type="dxa" w:w="4320"/>
          </w:tcPr>
          <w:p>
            <w:r>
              <w:t>5.57%</w:t>
            </w:r>
          </w:p>
        </w:tc>
      </w:tr>
    </w:tbl>
    <w:p/>
    <w:p>
      <w:pPr>
        <w:pStyle w:val="Heading1"/>
      </w:pPr>
      <w:r>
        <w:t>5. Conclusion</w:t>
      </w:r>
    </w:p>
    <w:p>
      <w:r>
        <w:t>While the College of Engineering maintains a robust academic standard, the rising failure rates in recent years warrant further investigation. Interventions focused on high-risk courses and early identification of struggling students could help reverse this 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