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B4F72"/>
          <w:sz w:val="52"/>
          <w:szCs w:val="52"/>
        </w:rPr>
        <w:t xml:space="preserve">CORTEX HEALTH</w:t>
      </w:r>
    </w:p>
    <w:p>
      <w:pPr>
        <w:spacing w:after="200"/>
        <w:jc w:val="center"/>
      </w:pPr>
      <w:r>
        <w:rPr>
          <w:rFonts w:ascii="Arial" w:cs="Arial" w:eastAsia="Arial" w:hAnsi="Arial"/>
          <w:color w:val="5D6D7E"/>
          <w:sz w:val="36"/>
          <w:szCs w:val="36"/>
        </w:rPr>
        <w:t xml:space="preserve">MBA Strategy Implementation Proposal</w:t>
      </w:r>
    </w:p>
    <w:p>
      <w:pPr>
        <w:pBdr>
          <w:top w:val="single" w:color="1B4F72" w:sz="4" w:space="8"/>
          <w:bottom w:val="single" w:color="1B4F72" w:sz="4" w:space="8"/>
        </w:pBdr>
        <w:spacing w:after="200" w:before="200"/>
        <w:jc w:val="center"/>
      </w:pPr>
      <w:r>
        <w:rPr>
          <w:rFonts w:ascii="Arial" w:cs="Arial" w:eastAsia="Arial" w:hAnsi="Arial"/>
          <w:color w:val="000000"/>
          <w:sz w:val="26"/>
          <w:szCs w:val="26"/>
        </w:rPr>
        <w:t xml:space="preserve">From MBA Coursework to Market Execution: A Phased Plan for
Brazilian Healthcare CDSS Market Entry</w:t>
      </w:r>
    </w:p>
    <w:p>
      <w:pPr>
        <w:spacing w:after="60"/>
      </w:pPr>
    </w:p>
    <w:p>
      <w:pPr>
        <w:spacing w:after="60"/>
      </w:pPr>
    </w:p>
    <w:p>
      <w:pPr>
        <w:spacing w:after="60"/>
        <w:jc w:val="center"/>
      </w:pPr>
      <w:r>
        <w:rPr>
          <w:rFonts w:ascii="Arial" w:cs="Arial" w:eastAsia="Arial" w:hAnsi="Arial"/>
          <w:color w:val="5D6D7E"/>
          <w:sz w:val="20"/>
          <w:szCs w:val="20"/>
        </w:rPr>
        <w:t xml:space="preserve">Prepared by: Cortex Boardroom Knowledge System</w:t>
      </w:r>
    </w:p>
    <w:p>
      <w:pPr>
        <w:spacing w:after="60"/>
        <w:jc w:val="center"/>
      </w:pPr>
      <w:r>
        <w:rPr>
          <w:rFonts w:ascii="Arial" w:cs="Arial" w:eastAsia="Arial" w:hAnsi="Arial"/>
          <w:color w:val="5D6D7E"/>
          <w:sz w:val="20"/>
          <w:szCs w:val="20"/>
        </w:rPr>
        <w:t xml:space="preserve">Source: JHU Carey Business School MBA Program (20 Tier 2 Knowledge Documents)</w:t>
      </w:r>
    </w:p>
    <w:p>
      <w:pPr>
        <w:spacing w:after="60"/>
        <w:jc w:val="center"/>
      </w:pPr>
      <w:r>
        <w:rPr>
          <w:rFonts w:ascii="Arial" w:cs="Arial" w:eastAsia="Arial" w:hAnsi="Arial"/>
          <w:color w:val="5D6D7E"/>
          <w:sz w:val="20"/>
          <w:szCs w:val="20"/>
        </w:rPr>
        <w:t xml:space="preserve">Date: March 17, 2026</w:t>
      </w:r>
    </w:p>
    <w:p>
      <w:pPr>
        <w:spacing w:after="60"/>
        <w:jc w:val="center"/>
      </w:pPr>
      <w:r>
        <w:rPr>
          <w:rFonts w:ascii="Arial" w:cs="Arial" w:eastAsia="Arial" w:hAnsi="Arial"/>
          <w:b/>
          <w:bCs/>
          <w:color w:val="E74C3C"/>
          <w:sz w:val="20"/>
          <w:szCs w:val="20"/>
        </w:rPr>
        <w:t xml:space="preserve">Status: PROPOSED — Pending Founder Review</w:t>
      </w:r>
    </w:p>
    <w:p>
      <w:r>
        <w:br w:type="page"/>
      </w:r>
    </w:p>
    <w:p>
      <w:pPr>
        <w:pStyle w:val="Heading1"/>
        <w:spacing w:after="150" w:before="300"/>
      </w:pPr>
      <w:r>
        <w:rPr>
          <w:rFonts w:ascii="Arial" w:cs="Arial" w:eastAsia="Arial" w:hAnsi="Arial"/>
        </w:rPr>
        <w:t xml:space="preserve">Executive Summary</w:t>
      </w:r>
    </w:p>
    <w:p>
      <w:pPr>
        <w:spacing w:after="120" w:line="276"/>
      </w:pPr>
      <w:r>
        <w:rPr>
          <w:rFonts w:ascii="Arial" w:cs="Arial" w:eastAsia="Arial" w:hAnsi="Arial"/>
          <w:color w:val="000000"/>
          <w:sz w:val="22"/>
          <w:szCs w:val="22"/>
        </w:rPr>
        <w:t xml:space="preserve">This proposal translates 20 enriched MBA knowledge documents into a concrete, phased execution plan for Cortex Health. It identifies three rate-limiting gates that block all downstream progress, sequences 25 initiatives across a 12-month horizon, assigns Boardroom agent ownership, and defines go/no-go decision points at Month 3, 6, and 12.</w:t>
      </w:r>
    </w:p>
    <w:p>
      <w:pPr>
        <w:spacing w:after="60"/>
      </w:pPr>
    </w:p>
    <w:p>
      <w:pPr>
        <w:pStyle w:val="Heading2"/>
        <w:spacing w:after="150" w:before="300"/>
      </w:pPr>
      <w:r>
        <w:rPr>
          <w:rFonts w:ascii="Arial" w:cs="Arial" w:eastAsia="Arial" w:hAnsi="Arial"/>
        </w:rPr>
        <w:t xml:space="preserve">Problem Statement</w:t>
      </w:r>
    </w:p>
    <w:p>
      <w:pPr>
        <w:spacing w:after="120" w:line="276"/>
      </w:pPr>
      <w:r>
        <w:rPr>
          <w:rFonts w:ascii="Arial" w:cs="Arial" w:eastAsia="Arial" w:hAnsi="Arial"/>
          <w:color w:val="000000"/>
          <w:sz w:val="22"/>
          <w:szCs w:val="22"/>
        </w:rPr>
        <w:t xml:space="preserve">Cortex Health has a production-ready MVP at 60% completion, an active pilot with Pequeno Cotolengo, and a knowledge base spanning healthcare systems, regulatory, finance, marketing, and product strategy. What it lacks is a structured plan that sequences these insights into executable work with clear owners, deadlines, and decision gates. Without this, the team risks working on the wrong things in the wrong order — particularly around ANVISA regulatory timing, EHR integration dependencies, and beachhead market selection.</w:t>
      </w:r>
    </w:p>
    <w:p>
      <w:pPr>
        <w:spacing w:after="60"/>
      </w:pPr>
    </w:p>
    <w:p>
      <w:pPr>
        <w:pStyle w:val="Heading2"/>
        <w:spacing w:after="150" w:before="300"/>
      </w:pPr>
      <w:r>
        <w:rPr>
          <w:rFonts w:ascii="Arial" w:cs="Arial" w:eastAsia="Arial" w:hAnsi="Arial"/>
        </w:rPr>
        <w:t xml:space="preserve">The Three Rate-Limiting Gates</w:t>
      </w:r>
    </w:p>
    <w:p>
      <w:pPr>
        <w:spacing w:after="120" w:line="276"/>
      </w:pPr>
      <w:r>
        <w:rPr>
          <w:rFonts w:ascii="Arial" w:cs="Arial" w:eastAsia="Arial" w:hAnsi="Arial"/>
          <w:color w:val="000000"/>
          <w:sz w:val="22"/>
          <w:szCs w:val="22"/>
        </w:rPr>
        <w:t xml:space="preserve">Every other initiative in this proposal is blocked until these three are in motion. They have the longest lead times and the highest downstream dependency counts.</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248"/>
        <w:gridCol w:w="1600"/>
        <w:gridCol w:w="16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Gate</w:t>
            </w:r>
          </w:p>
        </w:tc>
        <w:tc>
          <w:tcPr>
            <w:tcW w:type="dxa" w:w="42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Why It Blocks Everything</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Lead Time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ANVISA Regulatory Pathway</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Class III SaMD requires Brazilian-specific clinical data. 6–12 month submission timeline. No market entry without it.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6–12 months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RUTH (CLO)</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EHR Integration</w:t>
            </w:r>
          </w:p>
        </w:tc>
        <w:tc>
          <w:tcPr>
            <w:tcW w:type="dxa" w:w="42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Without working integration into at least one major Brazilian EHR (Philips Tasy, MV, or local), no hospital can deploy. FHIR/HL7 compliance from day one.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6 months to demo</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ARCHIE (CTO)</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Clinical Validation Study</w:t>
            </w:r>
          </w:p>
        </w:tc>
        <w:tc>
          <w:tcPr>
            <w:tcW w:type="dxa" w:w="4248"/>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Early-majority hospitals will not buy without peer-reviewed validation on a Brazilian patient cohort. 50–100 cases at an academic center. Publication target: 12 months.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12 months to publication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b/>
                <w:bCs/>
                <w:color w:val="000000"/>
                <w:sz w:val="20"/>
                <w:szCs w:val="20"/>
              </w:rPr>
              <w:t xml:space="preserve">ELENA (CMO)</w:t>
            </w:r>
          </w:p>
        </w:tc>
      </w:tr>
    </w:tbl>
    <w:p>
      <w:r>
        <w:br w:type="page"/>
      </w:r>
    </w:p>
    <w:p>
      <w:pPr>
        <w:pStyle w:val="Heading1"/>
        <w:spacing w:after="150" w:before="300"/>
      </w:pPr>
      <w:r>
        <w:rPr>
          <w:rFonts w:ascii="Arial" w:cs="Arial" w:eastAsia="Arial" w:hAnsi="Arial"/>
        </w:rPr>
        <w:t xml:space="preserve">Phase 1: Foundation (Months 1–3)</w:t>
      </w:r>
    </w:p>
    <w:p>
      <w:pPr>
        <w:spacing w:after="120" w:line="276"/>
      </w:pPr>
      <w:r>
        <w:rPr>
          <w:rFonts w:ascii="Arial" w:cs="Arial" w:eastAsia="Arial" w:hAnsi="Arial"/>
          <w:b/>
          <w:bCs/>
          <w:sz w:val="22"/>
          <w:szCs w:val="22"/>
        </w:rPr>
        <w:t xml:space="preserve">Urgency: </w:t>
      </w:r>
      <w:r>
        <w:rPr>
          <w:rFonts w:ascii="Arial" w:cs="Arial" w:eastAsia="Arial" w:hAnsi="Arial"/>
          <w:b/>
          <w:bCs/>
          <w:color w:val="E74C3C"/>
          <w:sz w:val="22"/>
          <w:szCs w:val="22"/>
        </w:rPr>
        <w:t xml:space="preserve">DO NOW</w:t>
      </w:r>
      <w:r>
        <w:rPr>
          <w:rFonts w:ascii="Arial" w:cs="Arial" w:eastAsia="Arial" w:hAnsi="Arial"/>
          <w:sz w:val="22"/>
          <w:szCs w:val="22"/>
        </w:rPr>
        <w:t xml:space="preserve"> — These initiatives must begin immediately. They have the longest lead times and the highest downstream dependency counts.</w:t>
      </w:r>
    </w:p>
    <w:p>
      <w:pPr>
        <w:spacing w:after="60"/>
      </w:pPr>
    </w:p>
    <w:p>
      <w:pPr>
        <w:pStyle w:val="Heading3"/>
        <w:spacing w:after="150" w:before="300"/>
      </w:pPr>
      <w:r>
        <w:rPr>
          <w:rFonts w:ascii="Arial" w:cs="Arial" w:eastAsia="Arial" w:hAnsi="Arial"/>
        </w:rPr>
        <w:t xml:space="preserve">1.1 Hire Regulatory Affairs + Clinical Validation Lead</w:t>
      </w:r>
    </w:p>
    <w:p>
      <w:pPr>
        <w:spacing w:after="120" w:line="276"/>
      </w:pPr>
      <w:r>
        <w:rPr>
          <w:rFonts w:ascii="Arial" w:cs="Arial" w:eastAsia="Arial" w:hAnsi="Arial"/>
          <w:color w:val="000000"/>
          <w:sz w:val="22"/>
          <w:szCs w:val="22"/>
        </w:rPr>
        <w:t xml:space="preserve">Every relevant domain in the MBA library converges on this: a single hire who has navigated ANVISA for a SaMD or MedTech company, who can design a Brazilian-cohort validation study AND manage the technical file submission. This role unblocks ANVISA, LGPD compliance, and clinical credibility simultaneously.</w:t>
      </w:r>
    </w:p>
    <w:p>
      <w:pPr>
        <w:spacing w:after="60"/>
      </w:pP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Nico (CEO)  |  </w:t>
      </w:r>
      <w:r>
        <w:rPr>
          <w:rFonts w:ascii="Arial" w:cs="Arial" w:eastAsia="Arial" w:hAnsi="Arial"/>
          <w:b/>
          <w:bCs/>
          <w:sz w:val="22"/>
          <w:szCs w:val="22"/>
        </w:rPr>
        <w:t xml:space="preserve">Deadline: </w:t>
      </w:r>
      <w:r>
        <w:rPr>
          <w:rFonts w:ascii="Arial" w:cs="Arial" w:eastAsia="Arial" w:hAnsi="Arial"/>
          <w:sz w:val="22"/>
          <w:szCs w:val="22"/>
        </w:rPr>
        <w:t xml:space="preserve">Month 2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Health Care Law, Medical Devices, AI Essentials</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Candidate sourced from Brazilian MedTech regulatory pipeline (Abbott, Philips, Siemens Healthineers, or local)</w:t>
      </w:r>
    </w:p>
    <w:p>
      <w:pPr>
        <w:pStyle w:val="ListParagraph"/>
        <w:numPr>
          <w:ilvl w:val="0"/>
          <w:numId w:val="2"/>
        </w:numPr>
        <w:spacing w:after="80" w:line="276"/>
      </w:pPr>
      <w:r>
        <w:rPr>
          <w:rFonts w:ascii="Arial" w:cs="Arial" w:eastAsia="Arial" w:hAnsi="Arial"/>
          <w:sz w:val="22"/>
          <w:szCs w:val="22"/>
        </w:rPr>
        <w:t xml:space="preserve">Offer extended by Month 2; onboarded by Month 3</w:t>
      </w:r>
    </w:p>
    <w:p>
      <w:pPr>
        <w:pStyle w:val="ListParagraph"/>
        <w:numPr>
          <w:ilvl w:val="0"/>
          <w:numId w:val="2"/>
        </w:numPr>
        <w:spacing w:after="80" w:line="276"/>
      </w:pPr>
      <w:r>
        <w:rPr>
          <w:rFonts w:ascii="Arial" w:cs="Arial" w:eastAsia="Arial" w:hAnsi="Arial"/>
          <w:sz w:val="22"/>
          <w:szCs w:val="22"/>
        </w:rPr>
        <w:t xml:space="preserve">Within 30 days of start: ANVISA technical file scope document + clinical study design draft</w:t>
      </w:r>
    </w:p>
    <w:p>
      <w:pPr>
        <w:pStyle w:val="ListParagraph"/>
        <w:numPr>
          <w:ilvl w:val="0"/>
          <w:numId w:val="2"/>
        </w:numPr>
        <w:spacing w:after="80" w:line="276"/>
      </w:pPr>
      <w:r>
        <w:rPr>
          <w:rFonts w:ascii="Arial" w:cs="Arial" w:eastAsia="Arial" w:hAnsi="Arial"/>
          <w:sz w:val="22"/>
          <w:szCs w:val="22"/>
        </w:rPr>
        <w:t xml:space="preserve">LGPD data audit initiated within first 2 weeks</w:t>
      </w:r>
    </w:p>
    <w:p>
      <w:pPr>
        <w:spacing w:after="60"/>
      </w:pPr>
    </w:p>
    <w:p>
      <w:pPr>
        <w:pStyle w:val="Heading3"/>
        <w:spacing w:after="150" w:before="300"/>
      </w:pPr>
      <w:r>
        <w:rPr>
          <w:rFonts w:ascii="Arial" w:cs="Arial" w:eastAsia="Arial" w:hAnsi="Arial"/>
        </w:rPr>
        <w:t xml:space="preserve">1.2 Initiate ANVISA Regulatory Pathway</w:t>
      </w:r>
    </w:p>
    <w:p>
      <w:pPr>
        <w:spacing w:after="120" w:line="276"/>
      </w:pPr>
      <w:r>
        <w:rPr>
          <w:rFonts w:ascii="Arial" w:cs="Arial" w:eastAsia="Arial" w:hAnsi="Arial"/>
          <w:color w:val="000000"/>
          <w:sz w:val="22"/>
          <w:szCs w:val="22"/>
        </w:rPr>
        <w:t xml:space="preserve">Cortex is likely Class III SaMD under RDC 657/2022. ANVISA now demands Brazilian-specific clinical data, not just FDA equivalence. The technical file, risk analysis, and clinical validation protocol must start in parallel.</w:t>
      </w:r>
    </w:p>
    <w:p>
      <w:pPr>
        <w:spacing w:after="60"/>
      </w:pP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RUTH (CLO) + Regulatory Lead  |  </w:t>
      </w:r>
      <w:r>
        <w:rPr>
          <w:rFonts w:ascii="Arial" w:cs="Arial" w:eastAsia="Arial" w:hAnsi="Arial"/>
          <w:b/>
          <w:bCs/>
          <w:sz w:val="22"/>
          <w:szCs w:val="22"/>
        </w:rPr>
        <w:t xml:space="preserve">Deadline: </w:t>
      </w:r>
      <w:r>
        <w:rPr>
          <w:rFonts w:ascii="Arial" w:cs="Arial" w:eastAsia="Arial" w:hAnsi="Arial"/>
          <w:sz w:val="22"/>
          <w:szCs w:val="22"/>
        </w:rPr>
        <w:t xml:space="preserve">Technical file started by Month 2; ANVISA pre-submission meeting by Month 4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Health Care Law (ANVISA RDC 657/2022), Medical Devices (SaMD IMDRF)</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ANVISA classification confirmed (Class II vs III) with regulatory consultant by Month 1</w:t>
      </w:r>
    </w:p>
    <w:p>
      <w:pPr>
        <w:pStyle w:val="ListParagraph"/>
        <w:numPr>
          <w:ilvl w:val="0"/>
          <w:numId w:val="2"/>
        </w:numPr>
        <w:spacing w:after="80" w:line="276"/>
      </w:pPr>
      <w:r>
        <w:rPr>
          <w:rFonts w:ascii="Arial" w:cs="Arial" w:eastAsia="Arial" w:hAnsi="Arial"/>
          <w:sz w:val="22"/>
          <w:szCs w:val="22"/>
        </w:rPr>
        <w:t xml:space="preserve">Technical file structure initiated: software documentation, architecture, intended use statement</w:t>
      </w:r>
    </w:p>
    <w:p>
      <w:pPr>
        <w:pStyle w:val="ListParagraph"/>
        <w:numPr>
          <w:ilvl w:val="0"/>
          <w:numId w:val="2"/>
        </w:numPr>
        <w:spacing w:after="80" w:line="276"/>
      </w:pPr>
      <w:r>
        <w:rPr>
          <w:rFonts w:ascii="Arial" w:cs="Arial" w:eastAsia="Arial" w:hAnsi="Arial"/>
          <w:sz w:val="22"/>
          <w:szCs w:val="22"/>
        </w:rPr>
        <w:t xml:space="preserve">Risk analysis per ISO 14971 scoped for Brazilian healthcare context</w:t>
      </w:r>
    </w:p>
    <w:p>
      <w:pPr>
        <w:pStyle w:val="ListParagraph"/>
        <w:numPr>
          <w:ilvl w:val="0"/>
          <w:numId w:val="2"/>
        </w:numPr>
        <w:spacing w:after="80" w:line="276"/>
      </w:pPr>
      <w:r>
        <w:rPr>
          <w:rFonts w:ascii="Arial" w:cs="Arial" w:eastAsia="Arial" w:hAnsi="Arial"/>
          <w:sz w:val="22"/>
          <w:szCs w:val="22"/>
        </w:rPr>
        <w:t xml:space="preserve">Clinical validation protocol designed: 50–100 case prospective study, IRB submission at partner hospital</w:t>
      </w:r>
    </w:p>
    <w:p>
      <w:pPr>
        <w:pStyle w:val="ListParagraph"/>
        <w:numPr>
          <w:ilvl w:val="0"/>
          <w:numId w:val="2"/>
        </w:numPr>
        <w:spacing w:after="80" w:line="276"/>
      </w:pPr>
      <w:r>
        <w:rPr>
          <w:rFonts w:ascii="Arial" w:cs="Arial" w:eastAsia="Arial" w:hAnsi="Arial"/>
          <w:sz w:val="22"/>
          <w:szCs w:val="22"/>
        </w:rPr>
        <w:t xml:space="preserve">Go/No-Go: If classification is Class IV (autonomous), reassess timeline and consider CDS exemption pathway</w:t>
      </w:r>
    </w:p>
    <w:p>
      <w:pPr>
        <w:spacing w:after="60"/>
      </w:pPr>
    </w:p>
    <w:p>
      <w:pPr>
        <w:pStyle w:val="Heading3"/>
        <w:spacing w:after="150" w:before="300"/>
      </w:pPr>
      <w:r>
        <w:rPr>
          <w:rFonts w:ascii="Arial" w:cs="Arial" w:eastAsia="Arial" w:hAnsi="Arial"/>
        </w:rPr>
        <w:t xml:space="preserve">1.3 Select EHR Integration Partner + Begin Build</w:t>
      </w:r>
    </w:p>
    <w:p>
      <w:pPr>
        <w:spacing w:after="120" w:line="276"/>
      </w:pPr>
      <w:r>
        <w:rPr>
          <w:rFonts w:ascii="Arial" w:cs="Arial" w:eastAsia="Arial" w:hAnsi="Arial"/>
          <w:color w:val="000000"/>
          <w:sz w:val="22"/>
          <w:szCs w:val="22"/>
        </w:rPr>
        <w:t xml:space="preserve">Without working EHR integration, no hospital can deploy Cortex. The product currently has clinical workflows but needs deep integration with at least one major Brazilian EHR system. FHIR/HL7 compliance from day one ensures vendor independence long-term.</w:t>
      </w:r>
    </w:p>
    <w:p>
      <w:pPr>
        <w:spacing w:after="60"/>
      </w:pP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ARCHIE (CTO)  |  </w:t>
      </w:r>
      <w:r>
        <w:rPr>
          <w:rFonts w:ascii="Arial" w:cs="Arial" w:eastAsia="Arial" w:hAnsi="Arial"/>
          <w:b/>
          <w:bCs/>
          <w:sz w:val="22"/>
          <w:szCs w:val="22"/>
        </w:rPr>
        <w:t xml:space="preserve">Deadline: </w:t>
      </w:r>
      <w:r>
        <w:rPr>
          <w:rFonts w:ascii="Arial" w:cs="Arial" w:eastAsia="Arial" w:hAnsi="Arial"/>
          <w:sz w:val="22"/>
          <w:szCs w:val="22"/>
        </w:rPr>
        <w:t xml:space="preserve">Partner selected by Month 1; working demo by Month 6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HIT (FHIR/HL7, interoperability), Digital Transformation (lock-in, information blocking)</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Evaluate Philips Tasy, MV Sistemas, Pixeon, and Wareline; select primary partner by Month 1</w:t>
      </w:r>
    </w:p>
    <w:p>
      <w:pPr>
        <w:pStyle w:val="ListParagraph"/>
        <w:numPr>
          <w:ilvl w:val="0"/>
          <w:numId w:val="2"/>
        </w:numPr>
        <w:spacing w:after="80" w:line="276"/>
      </w:pPr>
      <w:r>
        <w:rPr>
          <w:rFonts w:ascii="Arial" w:cs="Arial" w:eastAsia="Arial" w:hAnsi="Arial"/>
          <w:sz w:val="22"/>
          <w:szCs w:val="22"/>
        </w:rPr>
        <w:t xml:space="preserve">Multi-year API access agreement negotiated (contractual language ensuring data access per Digital Transformation lock-in analysis)</w:t>
      </w:r>
    </w:p>
    <w:p>
      <w:pPr>
        <w:pStyle w:val="ListParagraph"/>
        <w:numPr>
          <w:ilvl w:val="0"/>
          <w:numId w:val="2"/>
        </w:numPr>
        <w:spacing w:after="80" w:line="276"/>
      </w:pPr>
      <w:r>
        <w:rPr>
          <w:rFonts w:ascii="Arial" w:cs="Arial" w:eastAsia="Arial" w:hAnsi="Arial"/>
          <w:sz w:val="22"/>
          <w:szCs w:val="22"/>
        </w:rPr>
        <w:t xml:space="preserve">FHIR R4 server implementation started; HL7v2 ADT/ORU message parsing functional by Month 3</w:t>
      </w:r>
    </w:p>
    <w:p>
      <w:pPr>
        <w:pStyle w:val="ListParagraph"/>
        <w:numPr>
          <w:ilvl w:val="0"/>
          <w:numId w:val="2"/>
        </w:numPr>
        <w:spacing w:after="80" w:line="276"/>
      </w:pPr>
      <w:r>
        <w:rPr>
          <w:rFonts w:ascii="Arial" w:cs="Arial" w:eastAsia="Arial" w:hAnsi="Arial"/>
          <w:sz w:val="22"/>
          <w:szCs w:val="22"/>
        </w:rPr>
        <w:t xml:space="preserve">Working bidirectional integration demo (read patient data, write CDSS recommendations) by Month 6</w:t>
      </w:r>
    </w:p>
    <w:p>
      <w:pPr>
        <w:pStyle w:val="ListParagraph"/>
        <w:numPr>
          <w:ilvl w:val="0"/>
          <w:numId w:val="2"/>
        </w:numPr>
        <w:spacing w:after="80" w:line="276"/>
      </w:pPr>
      <w:r>
        <w:rPr>
          <w:rFonts w:ascii="Arial" w:cs="Arial" w:eastAsia="Arial" w:hAnsi="Arial"/>
          <w:sz w:val="22"/>
          <w:szCs w:val="22"/>
        </w:rPr>
        <w:t xml:space="preserve">RNDS (Rede Nacional de Dados em Saude) connector scoped for Phase 2</w:t>
      </w:r>
    </w:p>
    <w:p>
      <w:pPr>
        <w:spacing w:after="60"/>
      </w:pPr>
    </w:p>
    <w:p>
      <w:pPr>
        <w:pStyle w:val="Heading3"/>
        <w:spacing w:after="150" w:before="300"/>
      </w:pPr>
      <w:r>
        <w:rPr>
          <w:rFonts w:ascii="Arial" w:cs="Arial" w:eastAsia="Arial" w:hAnsi="Arial"/>
        </w:rPr>
        <w:t xml:space="preserve">1.4 Design Clinical Validation Study</w:t>
      </w:r>
    </w:p>
    <w:p>
      <w:pPr>
        <w:spacing w:after="120" w:line="276"/>
      </w:pPr>
      <w:r>
        <w:rPr>
          <w:rFonts w:ascii="Arial" w:cs="Arial" w:eastAsia="Arial" w:hAnsi="Arial"/>
          <w:color w:val="000000"/>
          <w:sz w:val="22"/>
          <w:szCs w:val="22"/>
        </w:rPr>
        <w:t xml:space="preserve">The single most powerful sales enabler in the entire MBA library. Early-majority hospitals demand peer-reviewed evidence showing safety and accuracy specific to Brazilian population demographics and disease prevalence.</w:t>
      </w:r>
    </w:p>
    <w:p>
      <w:pPr>
        <w:spacing w:after="60"/>
      </w:pP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ELENA (CMO)  |  </w:t>
      </w:r>
      <w:r>
        <w:rPr>
          <w:rFonts w:ascii="Arial" w:cs="Arial" w:eastAsia="Arial" w:hAnsi="Arial"/>
          <w:b/>
          <w:bCs/>
          <w:sz w:val="22"/>
          <w:szCs w:val="22"/>
        </w:rPr>
        <w:t xml:space="preserve">Deadline: </w:t>
      </w:r>
      <w:r>
        <w:rPr>
          <w:rFonts w:ascii="Arial" w:cs="Arial" w:eastAsia="Arial" w:hAnsi="Arial"/>
          <w:sz w:val="22"/>
          <w:szCs w:val="22"/>
        </w:rPr>
        <w:t xml:space="preserve">Protocol finalized by Month 3; data collection begins Month 4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New Product Development (clinical evidence as sales enabler), Business Analytics (sensitivity/specificity/PPV/NPV), HIT (CDSS evaluation frameworks)</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Academic hospital partner identified (target: USP, UNIFESP, or Beneficencia Portuguesa in Sao Paulo)</w:t>
      </w:r>
    </w:p>
    <w:p>
      <w:pPr>
        <w:pStyle w:val="ListParagraph"/>
        <w:numPr>
          <w:ilvl w:val="0"/>
          <w:numId w:val="2"/>
        </w:numPr>
        <w:spacing w:after="80" w:line="276"/>
      </w:pPr>
      <w:r>
        <w:rPr>
          <w:rFonts w:ascii="Arial" w:cs="Arial" w:eastAsia="Arial" w:hAnsi="Arial"/>
          <w:sz w:val="22"/>
          <w:szCs w:val="22"/>
        </w:rPr>
        <w:t xml:space="preserve">Study design: Prospective, 50–100 cases, CDSS accuracy vs. board-certified physician consensus</w:t>
      </w:r>
    </w:p>
    <w:p>
      <w:pPr>
        <w:pStyle w:val="ListParagraph"/>
        <w:numPr>
          <w:ilvl w:val="0"/>
          <w:numId w:val="2"/>
        </w:numPr>
        <w:spacing w:after="80" w:line="276"/>
      </w:pPr>
      <w:r>
        <w:rPr>
          <w:rFonts w:ascii="Arial" w:cs="Arial" w:eastAsia="Arial" w:hAnsi="Arial"/>
          <w:sz w:val="22"/>
          <w:szCs w:val="22"/>
        </w:rPr>
        <w:t xml:space="preserve">Metrics defined: Sensitivity, specificity, PPV, NPV, ROC-AUC, alert acceptance rate, time-to-diagnosis</w:t>
      </w:r>
    </w:p>
    <w:p>
      <w:pPr>
        <w:pStyle w:val="ListParagraph"/>
        <w:numPr>
          <w:ilvl w:val="0"/>
          <w:numId w:val="2"/>
        </w:numPr>
        <w:spacing w:after="80" w:line="276"/>
      </w:pPr>
      <w:r>
        <w:rPr>
          <w:rFonts w:ascii="Arial" w:cs="Arial" w:eastAsia="Arial" w:hAnsi="Arial"/>
          <w:sz w:val="22"/>
          <w:szCs w:val="22"/>
        </w:rPr>
        <w:t xml:space="preserve">IRB/ethics committee submission by Month 3</w:t>
      </w:r>
    </w:p>
    <w:p>
      <w:pPr>
        <w:pStyle w:val="ListParagraph"/>
        <w:numPr>
          <w:ilvl w:val="0"/>
          <w:numId w:val="2"/>
        </w:numPr>
        <w:spacing w:after="80" w:line="276"/>
      </w:pPr>
      <w:r>
        <w:rPr>
          <w:rFonts w:ascii="Arial" w:cs="Arial" w:eastAsia="Arial" w:hAnsi="Arial"/>
          <w:sz w:val="22"/>
          <w:szCs w:val="22"/>
        </w:rPr>
        <w:t xml:space="preserve">Brazilian clinician co-author secured (credibility + network effect)</w:t>
      </w:r>
    </w:p>
    <w:p>
      <w:pPr>
        <w:pStyle w:val="ListParagraph"/>
        <w:numPr>
          <w:ilvl w:val="0"/>
          <w:numId w:val="2"/>
        </w:numPr>
        <w:spacing w:after="80" w:line="276"/>
      </w:pPr>
      <w:r>
        <w:rPr>
          <w:rFonts w:ascii="Arial" w:cs="Arial" w:eastAsia="Arial" w:hAnsi="Arial"/>
          <w:sz w:val="22"/>
          <w:szCs w:val="22"/>
        </w:rPr>
        <w:t xml:space="preserve">Publication target: Brazilian medical journal or international health informatics journal within 12 months</w:t>
      </w:r>
    </w:p>
    <w:p>
      <w:pPr>
        <w:spacing w:after="60"/>
      </w:pPr>
    </w:p>
    <w:p>
      <w:pPr>
        <w:pStyle w:val="Heading3"/>
        <w:spacing w:after="150" w:before="300"/>
      </w:pPr>
      <w:r>
        <w:rPr>
          <w:rFonts w:ascii="Arial" w:cs="Arial" w:eastAsia="Arial" w:hAnsi="Arial"/>
        </w:rPr>
        <w:t xml:space="preserve">1.5 Recruit Clinical Advisory Board (3–5 Members)</w:t>
      </w:r>
    </w:p>
    <w:p>
      <w:pPr>
        <w:spacing w:after="120" w:line="276"/>
      </w:pPr>
      <w:r>
        <w:rPr>
          <w:rFonts w:ascii="Arial" w:cs="Arial" w:eastAsia="Arial" w:hAnsi="Arial"/>
          <w:color w:val="000000"/>
          <w:sz w:val="22"/>
          <w:szCs w:val="22"/>
        </w:rPr>
        <w:t xml:space="preserve">Brazilian negotiation culture is relationship-first. Hospital and operadora deals are built on personal relationships developed over months, often through clinical opinion leaders. The advisory board functions as both credibility signal and relationship bridge to target institutions.</w:t>
      </w:r>
    </w:p>
    <w:p>
      <w:pPr>
        <w:spacing w:after="60"/>
      </w:pP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ELENA (CMO) + VICTOR (CSO)  |  </w:t>
      </w:r>
      <w:r>
        <w:rPr>
          <w:rFonts w:ascii="Arial" w:cs="Arial" w:eastAsia="Arial" w:hAnsi="Arial"/>
          <w:b/>
          <w:bCs/>
          <w:sz w:val="22"/>
          <w:szCs w:val="22"/>
        </w:rPr>
        <w:t xml:space="preserve">Deadline: </w:t>
      </w:r>
      <w:r>
        <w:rPr>
          <w:rFonts w:ascii="Arial" w:cs="Arial" w:eastAsia="Arial" w:hAnsi="Arial"/>
          <w:sz w:val="22"/>
          <w:szCs w:val="22"/>
        </w:rPr>
        <w:t xml:space="preserve">3 members recruited by Month 2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Negotiation (Brazilian culture, clinical champion model), Marketing (clinical champion vs economic buyer)</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3–5 physicians from target hospitals (academic medical centers in Sao Paulo/Rio, 150–500 beds)</w:t>
      </w:r>
    </w:p>
    <w:p>
      <w:pPr>
        <w:pStyle w:val="ListParagraph"/>
        <w:numPr>
          <w:ilvl w:val="0"/>
          <w:numId w:val="2"/>
        </w:numPr>
        <w:spacing w:after="80" w:line="276"/>
      </w:pPr>
      <w:r>
        <w:rPr>
          <w:rFonts w:ascii="Arial" w:cs="Arial" w:eastAsia="Arial" w:hAnsi="Arial"/>
          <w:sz w:val="22"/>
          <w:szCs w:val="22"/>
        </w:rPr>
        <w:t xml:space="preserve">Compensation structure: R$25–50K annual stipend + R$10–25K per speaking engagement</w:t>
      </w:r>
    </w:p>
    <w:p>
      <w:pPr>
        <w:pStyle w:val="ListParagraph"/>
        <w:numPr>
          <w:ilvl w:val="0"/>
          <w:numId w:val="2"/>
        </w:numPr>
        <w:spacing w:after="80" w:line="276"/>
      </w:pPr>
      <w:r>
        <w:rPr>
          <w:rFonts w:ascii="Arial" w:cs="Arial" w:eastAsia="Arial" w:hAnsi="Arial"/>
          <w:sz w:val="22"/>
          <w:szCs w:val="22"/>
        </w:rPr>
        <w:t xml:space="preserve">Quarterly advisory meetings established; first meeting by Month 3</w:t>
      </w:r>
    </w:p>
    <w:p>
      <w:pPr>
        <w:pStyle w:val="ListParagraph"/>
        <w:numPr>
          <w:ilvl w:val="0"/>
          <w:numId w:val="2"/>
        </w:numPr>
        <w:spacing w:after="80" w:line="276"/>
      </w:pPr>
      <w:r>
        <w:rPr>
          <w:rFonts w:ascii="Arial" w:cs="Arial" w:eastAsia="Arial" w:hAnsi="Arial"/>
          <w:sz w:val="22"/>
          <w:szCs w:val="22"/>
        </w:rPr>
        <w:t xml:space="preserve">At least 1 member with operadora network connections (Phase 2 bridge)</w:t>
      </w:r>
    </w:p>
    <w:p>
      <w:pPr>
        <w:pStyle w:val="ListParagraph"/>
        <w:numPr>
          <w:ilvl w:val="0"/>
          <w:numId w:val="2"/>
        </w:numPr>
        <w:spacing w:after="80" w:line="276"/>
      </w:pPr>
      <w:r>
        <w:rPr>
          <w:rFonts w:ascii="Arial" w:cs="Arial" w:eastAsia="Arial" w:hAnsi="Arial"/>
          <w:sz w:val="22"/>
          <w:szCs w:val="22"/>
        </w:rPr>
        <w:t xml:space="preserve">At least 1 member with CFM (Conselho Federal de Medicina) relationships</w:t>
      </w:r>
    </w:p>
    <w:p>
      <w:pPr>
        <w:spacing w:after="60"/>
      </w:pPr>
    </w:p>
    <w:p>
      <w:pPr>
        <w:pStyle w:val="Heading3"/>
        <w:spacing w:after="150" w:before="300"/>
      </w:pPr>
      <w:r>
        <w:rPr>
          <w:rFonts w:ascii="Arial" w:cs="Arial" w:eastAsia="Arial" w:hAnsi="Arial"/>
        </w:rPr>
        <w:t xml:space="preserve">1.6 LGPD Compliance Audit + Contract Templates</w:t>
      </w:r>
    </w:p>
    <w:p>
      <w:pPr>
        <w:spacing w:after="120" w:line="276"/>
      </w:pPr>
      <w:r>
        <w:rPr>
          <w:rFonts w:ascii="Arial" w:cs="Arial" w:eastAsia="Arial" w:hAnsi="Arial"/>
          <w:color w:val="000000"/>
          <w:sz w:val="22"/>
          <w:szCs w:val="22"/>
        </w:rPr>
        <w:t xml:space="preserve">Health data is a special category under LGPD requiring explicit consent or healthcare-professional obligation. Penalties reach 2% of revenue or R$50M per violation. Cortex operates as data processor; hospitals are controllers. No institutional compliance officer will engage without LGPD-compliant templates.</w:t>
      </w:r>
    </w:p>
    <w:p>
      <w:pPr>
        <w:spacing w:after="60"/>
      </w:pP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RUTH (CLO) + CYRUS (CISO)  |  </w:t>
      </w:r>
      <w:r>
        <w:rPr>
          <w:rFonts w:ascii="Arial" w:cs="Arial" w:eastAsia="Arial" w:hAnsi="Arial"/>
          <w:b/>
          <w:bCs/>
          <w:sz w:val="22"/>
          <w:szCs w:val="22"/>
        </w:rPr>
        <w:t xml:space="preserve">Deadline: </w:t>
      </w:r>
      <w:r>
        <w:rPr>
          <w:rFonts w:ascii="Arial" w:cs="Arial" w:eastAsia="Arial" w:hAnsi="Arial"/>
          <w:sz w:val="22"/>
          <w:szCs w:val="22"/>
        </w:rPr>
        <w:t xml:space="preserve">Audit complete by Month 1; templates ready by Month 2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Health Care Law (LGPD vs GDPR comparison, lawful bases), HIT (HIPAA/HITECH/LGPD security)</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Internal data handling audit: map all PHI flows, storage locations, sub-processors</w:t>
      </w:r>
    </w:p>
    <w:p>
      <w:pPr>
        <w:pStyle w:val="ListParagraph"/>
        <w:numPr>
          <w:ilvl w:val="0"/>
          <w:numId w:val="2"/>
        </w:numPr>
        <w:spacing w:after="80" w:line="276"/>
      </w:pPr>
      <w:r>
        <w:rPr>
          <w:rFonts w:ascii="Arial" w:cs="Arial" w:eastAsia="Arial" w:hAnsi="Arial"/>
          <w:sz w:val="22"/>
          <w:szCs w:val="22"/>
        </w:rPr>
        <w:t xml:space="preserve">DPA (Data Processing Agreement) template drafted in Portuguese, reviewed by Brazilian privacy counsel</w:t>
      </w:r>
    </w:p>
    <w:p>
      <w:pPr>
        <w:pStyle w:val="ListParagraph"/>
        <w:numPr>
          <w:ilvl w:val="0"/>
          <w:numId w:val="2"/>
        </w:numPr>
        <w:spacing w:after="80" w:line="276"/>
      </w:pPr>
      <w:r>
        <w:rPr>
          <w:rFonts w:ascii="Arial" w:cs="Arial" w:eastAsia="Arial" w:hAnsi="Arial"/>
          <w:sz w:val="22"/>
          <w:szCs w:val="22"/>
        </w:rPr>
        <w:t xml:space="preserve">BAA (Business Associate Agreement) template for US-facing contracts</w:t>
      </w:r>
    </w:p>
    <w:p>
      <w:pPr>
        <w:pStyle w:val="ListParagraph"/>
        <w:numPr>
          <w:ilvl w:val="0"/>
          <w:numId w:val="2"/>
        </w:numPr>
        <w:spacing w:after="80" w:line="276"/>
      </w:pPr>
      <w:r>
        <w:rPr>
          <w:rFonts w:ascii="Arial" w:cs="Arial" w:eastAsia="Arial" w:hAnsi="Arial"/>
          <w:sz w:val="22"/>
          <w:szCs w:val="22"/>
        </w:rPr>
        <w:t xml:space="preserve">DPO (Data Protection Officer) appointment or designation plan</w:t>
      </w:r>
    </w:p>
    <w:p>
      <w:pPr>
        <w:pStyle w:val="ListParagraph"/>
        <w:numPr>
          <w:ilvl w:val="0"/>
          <w:numId w:val="2"/>
        </w:numPr>
        <w:spacing w:after="80" w:line="276"/>
      </w:pPr>
      <w:r>
        <w:rPr>
          <w:rFonts w:ascii="Arial" w:cs="Arial" w:eastAsia="Arial" w:hAnsi="Arial"/>
          <w:sz w:val="22"/>
          <w:szCs w:val="22"/>
        </w:rPr>
        <w:t xml:space="preserve">Consent mechanism design: explicit, informed, unambiguous, revocable</w:t>
      </w:r>
    </w:p>
    <w:p>
      <w:pPr>
        <w:pStyle w:val="ListParagraph"/>
        <w:numPr>
          <w:ilvl w:val="0"/>
          <w:numId w:val="2"/>
        </w:numPr>
        <w:spacing w:after="80" w:line="276"/>
      </w:pPr>
      <w:r>
        <w:rPr>
          <w:rFonts w:ascii="Arial" w:cs="Arial" w:eastAsia="Arial" w:hAnsi="Arial"/>
          <w:sz w:val="22"/>
          <w:szCs w:val="22"/>
        </w:rPr>
        <w:t xml:space="preserve">Data breach notification protocol drafted (72-hour LGPD requirement)</w:t>
      </w:r>
    </w:p>
    <w:p>
      <w:pPr>
        <w:spacing w:after="60"/>
      </w:pPr>
    </w:p>
    <w:p>
      <w:pPr>
        <w:pStyle w:val="Heading3"/>
        <w:spacing w:after="150" w:before="300"/>
      </w:pPr>
      <w:r>
        <w:rPr>
          <w:rFonts w:ascii="Arial" w:cs="Arial" w:eastAsia="Arial" w:hAnsi="Arial"/>
        </w:rPr>
        <w:t xml:space="preserve">1.7 Alert Fatigue Architecture: Safety Firewall Design</w:t>
      </w:r>
    </w:p>
    <w:p>
      <w:pPr>
        <w:spacing w:after="120" w:line="276"/>
      </w:pPr>
      <w:r>
        <w:rPr>
          <w:rFonts w:ascii="Arial" w:cs="Arial" w:eastAsia="Arial" w:hAnsi="Arial"/>
          <w:color w:val="000000"/>
          <w:sz w:val="22"/>
          <w:szCs w:val="22"/>
        </w:rPr>
        <w:t xml:space="preserve">The HIT literature is unambiguous: the #1 killer of CDSS adoption is alert noise. Clinicians who override 90% of alerts eventually override all of them, including critical ones. This is not a feature request — it is an architectural decision that must be embedded before first hospital deployment.</w:t>
      </w:r>
    </w:p>
    <w:p>
      <w:pPr>
        <w:spacing w:after="60"/>
      </w:pP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ARCHIE (CTO) + ELENA (CMO)  |  </w:t>
      </w:r>
      <w:r>
        <w:rPr>
          <w:rFonts w:ascii="Arial" w:cs="Arial" w:eastAsia="Arial" w:hAnsi="Arial"/>
          <w:b/>
          <w:bCs/>
          <w:sz w:val="22"/>
          <w:szCs w:val="22"/>
        </w:rPr>
        <w:t xml:space="preserve">Deadline: </w:t>
      </w:r>
      <w:r>
        <w:rPr>
          <w:rFonts w:ascii="Arial" w:cs="Arial" w:eastAsia="Arial" w:hAnsi="Arial"/>
          <w:sz w:val="22"/>
          <w:szCs w:val="22"/>
        </w:rPr>
        <w:t xml:space="preserve">Architecture spec by Month 2; implementation by Month 5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HIT (Five Rights of CDSS, alert fatigue tiering, e-iatrogenesis), AI Essentials (Safety Firewall validation)</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Four-tier severity system: Critical (hard-stop, requires documented override), High (interruptive alert + logged override), Medium (passive notification in workflow), Low (on-demand/reference only)</w:t>
      </w:r>
    </w:p>
    <w:p>
      <w:pPr>
        <w:pStyle w:val="ListParagraph"/>
        <w:numPr>
          <w:ilvl w:val="0"/>
          <w:numId w:val="2"/>
        </w:numPr>
        <w:spacing w:after="80" w:line="276"/>
      </w:pPr>
      <w:r>
        <w:rPr>
          <w:rFonts w:ascii="Arial" w:cs="Arial" w:eastAsia="Arial" w:hAnsi="Arial"/>
          <w:sz w:val="22"/>
          <w:szCs w:val="22"/>
        </w:rPr>
        <w:t xml:space="preserve">Five Rights validation: Right information, right person, right channel, right format, right time</w:t>
      </w:r>
    </w:p>
    <w:p>
      <w:pPr>
        <w:pStyle w:val="ListParagraph"/>
        <w:numPr>
          <w:ilvl w:val="0"/>
          <w:numId w:val="2"/>
        </w:numPr>
        <w:spacing w:after="80" w:line="276"/>
      </w:pPr>
      <w:r>
        <w:rPr>
          <w:rFonts w:ascii="Arial" w:cs="Arial" w:eastAsia="Arial" w:hAnsi="Arial"/>
          <w:sz w:val="22"/>
          <w:szCs w:val="22"/>
        </w:rPr>
        <w:t xml:space="preserve">Real-time safety monitoring console: override rates per tier, alert fatigue trending, e-iatrogenesis cluster detection</w:t>
      </w:r>
    </w:p>
    <w:p>
      <w:pPr>
        <w:pStyle w:val="ListParagraph"/>
        <w:numPr>
          <w:ilvl w:val="0"/>
          <w:numId w:val="2"/>
        </w:numPr>
        <w:spacing w:after="80" w:line="276"/>
      </w:pPr>
      <w:r>
        <w:rPr>
          <w:rFonts w:ascii="Arial" w:cs="Arial" w:eastAsia="Arial" w:hAnsi="Arial"/>
          <w:sz w:val="22"/>
          <w:szCs w:val="22"/>
        </w:rPr>
        <w:t xml:space="preserve">Governance interface: clinical committee can adjust tier assignments without engineering changes</w:t>
      </w:r>
    </w:p>
    <w:p>
      <w:pPr>
        <w:pStyle w:val="ListParagraph"/>
        <w:numPr>
          <w:ilvl w:val="0"/>
          <w:numId w:val="2"/>
        </w:numPr>
        <w:spacing w:after="80" w:line="276"/>
      </w:pPr>
      <w:r>
        <w:rPr>
          <w:rFonts w:ascii="Arial" w:cs="Arial" w:eastAsia="Arial" w:hAnsi="Arial"/>
          <w:sz w:val="22"/>
          <w:szCs w:val="22"/>
        </w:rPr>
        <w:t xml:space="preserve">Target override rate: &lt;30% for Critical tier, &lt;50% for High tier (industry benchmarks)</w:t>
      </w:r>
    </w:p>
    <w:p>
      <w:r>
        <w:br w:type="page"/>
      </w:r>
    </w:p>
    <w:p>
      <w:pPr>
        <w:pStyle w:val="Heading2"/>
        <w:spacing w:after="150" w:before="300"/>
      </w:pPr>
      <w:r>
        <w:rPr>
          <w:rFonts w:ascii="Arial" w:cs="Arial" w:eastAsia="Arial" w:hAnsi="Arial"/>
        </w:rPr>
        <w:t xml:space="preserve">Phase 1 Gate Review: Month 3 Go/No-Go</w:t>
      </w:r>
    </w:p>
    <w:p>
      <w:pPr>
        <w:spacing w:after="120" w:line="276"/>
      </w:pPr>
      <w:r>
        <w:rPr>
          <w:rFonts w:ascii="Arial" w:cs="Arial" w:eastAsia="Arial" w:hAnsi="Arial"/>
          <w:color w:val="000000"/>
          <w:sz w:val="22"/>
          <w:szCs w:val="22"/>
        </w:rPr>
        <w:t xml:space="preserve">Before committing Phase 2 resources, the following must be true:</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0"/>
        <w:gridCol w:w="2324"/>
        <w:gridCol w:w="2324"/>
      </w:tblGrid>
      <w:tr>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Gate Criterion</w:t>
            </w:r>
          </w:p>
        </w:tc>
        <w:tc>
          <w:tcPr>
            <w:tcW w:type="dxa" w:w="23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Pass Condition</w:t>
            </w:r>
          </w:p>
        </w:tc>
        <w:tc>
          <w:tcPr>
            <w:tcW w:type="dxa" w:w="23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If Fail</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Regulatory lead hired and onboarded</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Onboarded, ANVISA scope doc drafted</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E74C3C"/>
                <w:sz w:val="20"/>
                <w:szCs w:val="20"/>
              </w:rPr>
              <w:t xml:space="preserve">STOP: Cannot proceed without regulatory path</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EHR partner selected, API access negotiated</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Signed agreement with 1 vendor</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Extend Phase 1 by 60 days</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Clinical validation protocol designed, IRB submitted</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IRB submission confirmed</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Extend Phase 1 by 30 days</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Advisory board: 3+ members recruited</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 signed advisory agreements</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Continue Phase 2, backfill recruitment</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LGPD audit complete, DPA templates ready</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Templates reviewed by counsel</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E74C3C"/>
                <w:sz w:val="20"/>
                <w:szCs w:val="20"/>
              </w:rPr>
              <w:t xml:space="preserve">Block hospital engagement until resolved</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Safety Firewall architecture spec approved</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Spec signed off by CTO + CMO</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Extend Phase 1; no deployment without it</w:t>
            </w:r>
          </w:p>
        </w:tc>
      </w:tr>
    </w:tbl>
    <w:p>
      <w:r>
        <w:br w:type="page"/>
      </w:r>
    </w:p>
    <w:p>
      <w:pPr>
        <w:pStyle w:val="Heading1"/>
        <w:spacing w:after="150" w:before="300"/>
      </w:pPr>
      <w:r>
        <w:rPr>
          <w:rFonts w:ascii="Arial" w:cs="Arial" w:eastAsia="Arial" w:hAnsi="Arial"/>
        </w:rPr>
        <w:t xml:space="preserve">Phase 2: Market Preparation (Months 4–6)</w:t>
      </w:r>
    </w:p>
    <w:p>
      <w:pPr>
        <w:spacing w:after="120" w:line="276"/>
      </w:pPr>
      <w:r>
        <w:rPr>
          <w:rFonts w:ascii="Arial" w:cs="Arial" w:eastAsia="Arial" w:hAnsi="Arial"/>
          <w:b/>
          <w:bCs/>
          <w:sz w:val="22"/>
          <w:szCs w:val="22"/>
        </w:rPr>
        <w:t xml:space="preserve">Urgency: </w:t>
      </w:r>
      <w:r>
        <w:rPr>
          <w:rFonts w:ascii="Arial" w:cs="Arial" w:eastAsia="Arial" w:hAnsi="Arial"/>
          <w:b/>
          <w:bCs/>
          <w:color w:val="F39C12"/>
          <w:sz w:val="22"/>
          <w:szCs w:val="22"/>
        </w:rPr>
        <w:t xml:space="preserve">THIS QUARTER</w:t>
      </w:r>
      <w:r>
        <w:rPr>
          <w:rFonts w:ascii="Arial" w:cs="Arial" w:eastAsia="Arial" w:hAnsi="Arial"/>
          <w:sz w:val="22"/>
          <w:szCs w:val="22"/>
        </w:rPr>
        <w:t xml:space="preserve"> — Build on Phase 1 foundations. Prepare pricing, operadora economics, competitive positioning, and CFM engagement.</w:t>
      </w:r>
    </w:p>
    <w:p>
      <w:pPr>
        <w:spacing w:after="60"/>
      </w:pPr>
    </w:p>
    <w:p>
      <w:pPr>
        <w:pStyle w:val="Heading3"/>
        <w:spacing w:after="150" w:before="300"/>
      </w:pPr>
      <w:r>
        <w:rPr>
          <w:rFonts w:ascii="Arial" w:cs="Arial" w:eastAsia="Arial" w:hAnsi="Arial"/>
        </w:rPr>
        <w:t xml:space="preserve">2.1 Value-Based Pricing Model Development</w:t>
      </w:r>
    </w:p>
    <w:p>
      <w:pPr>
        <w:spacing w:after="120" w:line="276"/>
      </w:pPr>
      <w:r>
        <w:rPr>
          <w:rFonts w:ascii="Arial" w:cs="Arial" w:eastAsia="Arial" w:hAnsi="Arial"/>
          <w:color w:val="000000"/>
          <w:sz w:val="22"/>
          <w:szCs w:val="22"/>
        </w:rPr>
        <w:t xml:space="preserve">Flat SaaS licensing leaves most value on the table and misaligns incentives. The microeconomics and health financing analyses converge on a two-part tariff for hospitals and a revenue-share model for operadoras.</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GORDON (CFO)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Health Financing, Business Microeconomics</w:t>
      </w:r>
    </w:p>
    <w:p>
      <w:pPr>
        <w:spacing w:after="60"/>
      </w:pPr>
    </w:p>
    <w:p>
      <w:pPr>
        <w:spacing w:after="120" w:line="276"/>
      </w:pPr>
      <w:r>
        <w:rPr>
          <w:rFonts w:ascii="Arial" w:cs="Arial" w:eastAsia="Arial" w:hAnsi="Arial"/>
          <w:b/>
          <w:bCs/>
          <w:color w:val="000000"/>
          <w:sz w:val="22"/>
          <w:szCs w:val="22"/>
        </w:rPr>
        <w:t xml:space="preserve">Hospital Model:</w:t>
      </w:r>
    </w:p>
    <w:p>
      <w:pPr>
        <w:pStyle w:val="ListParagraph"/>
        <w:numPr>
          <w:ilvl w:val="0"/>
          <w:numId w:val="2"/>
        </w:numPr>
        <w:spacing w:after="80" w:line="276"/>
      </w:pPr>
      <w:r>
        <w:rPr>
          <w:rFonts w:ascii="Arial" w:cs="Arial" w:eastAsia="Arial" w:hAnsi="Arial"/>
          <w:sz w:val="22"/>
          <w:szCs w:val="22"/>
        </w:rPr>
        <w:t xml:space="preserve">Base implementation fee: $50–150K (one-time, by hospital size)</w:t>
      </w:r>
    </w:p>
    <w:p>
      <w:pPr>
        <w:pStyle w:val="ListParagraph"/>
        <w:numPr>
          <w:ilvl w:val="0"/>
          <w:numId w:val="2"/>
        </w:numPr>
        <w:spacing w:after="80" w:line="276"/>
      </w:pPr>
      <w:r>
        <w:rPr>
          <w:rFonts w:ascii="Arial" w:cs="Arial" w:eastAsia="Arial" w:hAnsi="Arial"/>
          <w:sz w:val="22"/>
          <w:szCs w:val="22"/>
        </w:rPr>
        <w:t xml:space="preserve">Monthly platform fee: $5–25K (tiered by bed count and module selection)</w:t>
      </w:r>
    </w:p>
    <w:p>
      <w:pPr>
        <w:pStyle w:val="ListParagraph"/>
        <w:numPr>
          <w:ilvl w:val="0"/>
          <w:numId w:val="2"/>
        </w:numPr>
        <w:spacing w:after="80" w:line="276"/>
      </w:pPr>
      <w:r>
        <w:rPr>
          <w:rFonts w:ascii="Arial" w:cs="Arial" w:eastAsia="Arial" w:hAnsi="Arial"/>
          <w:sz w:val="22"/>
          <w:szCs w:val="22"/>
        </w:rPr>
        <w:t xml:space="preserve">Performance bonus: 5–10% uplift if readmission reduction exceeds 10%</w:t>
      </w:r>
    </w:p>
    <w:p>
      <w:pPr>
        <w:pStyle w:val="ListParagraph"/>
        <w:numPr>
          <w:ilvl w:val="0"/>
          <w:numId w:val="2"/>
        </w:numPr>
        <w:spacing w:after="80" w:line="276"/>
      </w:pPr>
      <w:r>
        <w:rPr>
          <w:rFonts w:ascii="Arial" w:cs="Arial" w:eastAsia="Arial" w:hAnsi="Arial"/>
          <w:sz w:val="22"/>
          <w:szCs w:val="22"/>
        </w:rPr>
        <w:t xml:space="preserve">ROI model: 10K-admission hospital captures ~$7.5M annually in avoided complications + reduced LOS</w:t>
      </w:r>
    </w:p>
    <w:p>
      <w:pPr>
        <w:spacing w:after="60"/>
      </w:pPr>
    </w:p>
    <w:p>
      <w:pPr>
        <w:spacing w:after="120" w:line="276"/>
      </w:pPr>
      <w:r>
        <w:rPr>
          <w:rFonts w:ascii="Arial" w:cs="Arial" w:eastAsia="Arial" w:hAnsi="Arial"/>
          <w:b/>
          <w:bCs/>
          <w:color w:val="000000"/>
          <w:sz w:val="22"/>
          <w:szCs w:val="22"/>
        </w:rPr>
        <w:t xml:space="preserve">Operadora Model:</w:t>
      </w:r>
    </w:p>
    <w:p>
      <w:pPr>
        <w:pStyle w:val="ListParagraph"/>
        <w:numPr>
          <w:ilvl w:val="0"/>
          <w:numId w:val="2"/>
        </w:numPr>
        <w:spacing w:after="80" w:line="276"/>
      </w:pPr>
      <w:r>
        <w:rPr>
          <w:rFonts w:ascii="Arial" w:cs="Arial" w:eastAsia="Arial" w:hAnsi="Arial"/>
          <w:sz w:val="22"/>
          <w:szCs w:val="22"/>
        </w:rPr>
        <w:t xml:space="preserve">Revenue-share on sinistralidade reduction: Cortex receives 30% of documented savings</w:t>
      </w:r>
    </w:p>
    <w:p>
      <w:pPr>
        <w:pStyle w:val="ListParagraph"/>
        <w:numPr>
          <w:ilvl w:val="0"/>
          <w:numId w:val="2"/>
        </w:numPr>
        <w:spacing w:after="80" w:line="276"/>
      </w:pPr>
      <w:r>
        <w:rPr>
          <w:rFonts w:ascii="Arial" w:cs="Arial" w:eastAsia="Arial" w:hAnsi="Arial"/>
          <w:sz w:val="22"/>
          <w:szCs w:val="22"/>
        </w:rPr>
        <w:t xml:space="preserve">Baseline: 75% sinistralidade. Target: 2–3% reduction = R$20–30M savings on R$1B premium book</w:t>
      </w:r>
    </w:p>
    <w:p>
      <w:pPr>
        <w:pStyle w:val="ListParagraph"/>
        <w:numPr>
          <w:ilvl w:val="0"/>
          <w:numId w:val="2"/>
        </w:numPr>
        <w:spacing w:after="80" w:line="276"/>
      </w:pPr>
      <w:r>
        <w:rPr>
          <w:rFonts w:ascii="Arial" w:cs="Arial" w:eastAsia="Arial" w:hAnsi="Arial"/>
          <w:sz w:val="22"/>
          <w:szCs w:val="22"/>
        </w:rPr>
        <w:t xml:space="preserve">Single operadora deal at this structure exceeds entire hospital portfolio revenue</w:t>
      </w:r>
    </w:p>
    <w:p>
      <w:pPr>
        <w:pStyle w:val="ListParagraph"/>
        <w:numPr>
          <w:ilvl w:val="0"/>
          <w:numId w:val="2"/>
        </w:numPr>
        <w:spacing w:after="80" w:line="276"/>
      </w:pPr>
      <w:r>
        <w:rPr>
          <w:rFonts w:ascii="Arial" w:cs="Arial" w:eastAsia="Arial" w:hAnsi="Arial"/>
          <w:sz w:val="22"/>
          <w:szCs w:val="22"/>
        </w:rPr>
        <w:t xml:space="preserve">Hybrid option for risk-averse operadoras: base fee (R$0.50/member/month) + savings share (15–20%)</w:t>
      </w:r>
    </w:p>
    <w:p>
      <w:pPr>
        <w:spacing w:after="60"/>
      </w:pPr>
    </w:p>
    <w:p>
      <w:pPr>
        <w:spacing w:after="120" w:line="276"/>
      </w:pPr>
      <w:r>
        <w:rPr>
          <w:rFonts w:ascii="Arial" w:cs="Arial" w:eastAsia="Arial" w:hAnsi="Arial"/>
          <w:b/>
          <w:bCs/>
          <w:color w:val="000000"/>
          <w:sz w:val="22"/>
          <w:szCs w:val="22"/>
        </w:rPr>
        <w:t xml:space="preserve">Segment Pricing:</w:t>
      </w:r>
    </w:p>
    <w:p>
      <w:pPr>
        <w:pStyle w:val="ListParagraph"/>
        <w:numPr>
          <w:ilvl w:val="0"/>
          <w:numId w:val="2"/>
        </w:numPr>
        <w:spacing w:after="80" w:line="276"/>
      </w:pPr>
      <w:r>
        <w:rPr>
          <w:rFonts w:ascii="Arial" w:cs="Arial" w:eastAsia="Arial" w:hAnsi="Arial"/>
          <w:sz w:val="22"/>
          <w:szCs w:val="22"/>
        </w:rPr>
        <w:t xml:space="preserve">Large private hospital chains (inelastic): R$25–30K/month</w:t>
      </w:r>
    </w:p>
    <w:p>
      <w:pPr>
        <w:pStyle w:val="ListParagraph"/>
        <w:numPr>
          <w:ilvl w:val="0"/>
          <w:numId w:val="2"/>
        </w:numPr>
        <w:spacing w:after="80" w:line="276"/>
      </w:pPr>
      <w:r>
        <w:rPr>
          <w:rFonts w:ascii="Arial" w:cs="Arial" w:eastAsia="Arial" w:hAnsi="Arial"/>
          <w:sz w:val="22"/>
          <w:szCs w:val="22"/>
        </w:rPr>
        <w:t xml:space="preserve">Mid-size hospitals (moderate elasticity): R$10–15K/month</w:t>
      </w:r>
    </w:p>
    <w:p>
      <w:pPr>
        <w:pStyle w:val="ListParagraph"/>
        <w:numPr>
          <w:ilvl w:val="0"/>
          <w:numId w:val="2"/>
        </w:numPr>
        <w:spacing w:after="80" w:line="276"/>
      </w:pPr>
      <w:r>
        <w:rPr>
          <w:rFonts w:ascii="Arial" w:cs="Arial" w:eastAsia="Arial" w:hAnsi="Arial"/>
          <w:sz w:val="22"/>
          <w:szCs w:val="22"/>
        </w:rPr>
        <w:t xml:space="preserve">SUS/Teaching hospitals (elastic): R$3–5K/month or per-encounter fee</w:t>
      </w:r>
    </w:p>
    <w:p>
      <w:pPr>
        <w:spacing w:after="60"/>
      </w:pPr>
    </w:p>
    <w:p>
      <w:pPr>
        <w:pStyle w:val="Heading3"/>
        <w:spacing w:after="150" w:before="300"/>
      </w:pPr>
      <w:r>
        <w:rPr>
          <w:rFonts w:ascii="Arial" w:cs="Arial" w:eastAsia="Arial" w:hAnsi="Arial"/>
        </w:rPr>
        <w:t xml:space="preserve">2.2 Operadora Economics Modeling</w:t>
      </w:r>
    </w:p>
    <w:p>
      <w:pPr>
        <w:spacing w:after="120" w:line="276"/>
      </w:pPr>
      <w:r>
        <w:rPr>
          <w:rFonts w:ascii="Arial" w:cs="Arial" w:eastAsia="Arial" w:hAnsi="Arial"/>
          <w:color w:val="000000"/>
          <w:sz w:val="22"/>
          <w:szCs w:val="22"/>
        </w:rPr>
        <w:t xml:space="preserve">Build the financial model GORDON needs to walk into operadora conversations with credible unit economics.</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GORDON (CFO)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Health Financing (sinistralidade), Corporate Finance (IRR/NPV), Business Analytics (sensitivity analysis)</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Financial model with 3 scenarios (conservative/base/upside) for top 5 operadoras by member count</w:t>
      </w:r>
    </w:p>
    <w:p>
      <w:pPr>
        <w:pStyle w:val="ListParagraph"/>
        <w:numPr>
          <w:ilvl w:val="0"/>
          <w:numId w:val="2"/>
        </w:numPr>
        <w:spacing w:after="80" w:line="276"/>
      </w:pPr>
      <w:r>
        <w:rPr>
          <w:rFonts w:ascii="Arial" w:cs="Arial" w:eastAsia="Arial" w:hAnsi="Arial"/>
          <w:sz w:val="22"/>
          <w:szCs w:val="22"/>
        </w:rPr>
        <w:t xml:space="preserve">Sensitivity analysis: sinistralidade reduction range (1–5%), member count, pricing structure</w:t>
      </w:r>
    </w:p>
    <w:p>
      <w:pPr>
        <w:pStyle w:val="ListParagraph"/>
        <w:numPr>
          <w:ilvl w:val="0"/>
          <w:numId w:val="2"/>
        </w:numPr>
        <w:spacing w:after="80" w:line="276"/>
      </w:pPr>
      <w:r>
        <w:rPr>
          <w:rFonts w:ascii="Arial" w:cs="Arial" w:eastAsia="Arial" w:hAnsi="Arial"/>
          <w:sz w:val="22"/>
          <w:szCs w:val="22"/>
        </w:rPr>
        <w:t xml:space="preserve">Attribution methodology defined: control group design for measuring Cortex-driven savings vs. secular trends</w:t>
      </w:r>
    </w:p>
    <w:p>
      <w:pPr>
        <w:pStyle w:val="ListParagraph"/>
        <w:numPr>
          <w:ilvl w:val="0"/>
          <w:numId w:val="2"/>
        </w:numPr>
        <w:spacing w:after="80" w:line="276"/>
      </w:pPr>
      <w:r>
        <w:rPr>
          <w:rFonts w:ascii="Arial" w:cs="Arial" w:eastAsia="Arial" w:hAnsi="Arial"/>
          <w:sz w:val="22"/>
          <w:szCs w:val="22"/>
        </w:rPr>
        <w:t xml:space="preserve">TAM/SAM/SOM validated: $100–200M TAM, $50–80M SAM, $5–10M 3-year SOM</w:t>
      </w:r>
    </w:p>
    <w:p>
      <w:pPr>
        <w:pStyle w:val="ListParagraph"/>
        <w:numPr>
          <w:ilvl w:val="0"/>
          <w:numId w:val="2"/>
        </w:numPr>
        <w:spacing w:after="80" w:line="276"/>
      </w:pPr>
      <w:r>
        <w:rPr>
          <w:rFonts w:ascii="Arial" w:cs="Arial" w:eastAsia="Arial" w:hAnsi="Arial"/>
          <w:sz w:val="22"/>
          <w:szCs w:val="22"/>
        </w:rPr>
        <w:t xml:space="preserve">Investor-ready pitch deck section on unit economics</w:t>
      </w:r>
    </w:p>
    <w:p>
      <w:pPr>
        <w:spacing w:after="60"/>
      </w:pPr>
    </w:p>
    <w:p>
      <w:pPr>
        <w:pStyle w:val="Heading3"/>
        <w:spacing w:after="150" w:before="300"/>
      </w:pPr>
      <w:r>
        <w:rPr>
          <w:rFonts w:ascii="Arial" w:cs="Arial" w:eastAsia="Arial" w:hAnsi="Arial"/>
        </w:rPr>
        <w:t xml:space="preserve">2.3 CFM Engagement Strategy</w:t>
      </w:r>
    </w:p>
    <w:p>
      <w:pPr>
        <w:spacing w:after="120" w:line="276"/>
      </w:pPr>
      <w:r>
        <w:rPr>
          <w:rFonts w:ascii="Arial" w:cs="Arial" w:eastAsia="Arial" w:hAnsi="Arial"/>
          <w:color w:val="000000"/>
          <w:sz w:val="22"/>
          <w:szCs w:val="22"/>
        </w:rPr>
        <w:t xml:space="preserve">The Conselho Federal de Medicina is increasingly setting norms around AI use by physicians. No Brazilian CDSS company has proactively sought CFM engagement. Being first creates a significant competitive moat.</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RUTH (CLO) + ELENA (CMO)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Health Care Law (CFM Resolution 2227/2018, AI physician liability)</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Product designed with transparent AI output: recommendation basis, confidence levels, easy documented overrides</w:t>
      </w:r>
    </w:p>
    <w:p>
      <w:pPr>
        <w:pStyle w:val="ListParagraph"/>
        <w:numPr>
          <w:ilvl w:val="0"/>
          <w:numId w:val="2"/>
        </w:numPr>
        <w:spacing w:after="80" w:line="276"/>
      </w:pPr>
      <w:r>
        <w:rPr>
          <w:rFonts w:ascii="Arial" w:cs="Arial" w:eastAsia="Arial" w:hAnsi="Arial"/>
          <w:sz w:val="22"/>
          <w:szCs w:val="22"/>
        </w:rPr>
        <w:t xml:space="preserve">Clinician training curriculum drafted aligned to CFM standards</w:t>
      </w:r>
    </w:p>
    <w:p>
      <w:pPr>
        <w:pStyle w:val="ListParagraph"/>
        <w:numPr>
          <w:ilvl w:val="0"/>
          <w:numId w:val="2"/>
        </w:numPr>
        <w:spacing w:after="80" w:line="276"/>
      </w:pPr>
      <w:r>
        <w:rPr>
          <w:rFonts w:ascii="Arial" w:cs="Arial" w:eastAsia="Arial" w:hAnsi="Arial"/>
          <w:sz w:val="22"/>
          <w:szCs w:val="22"/>
        </w:rPr>
        <w:t xml:space="preserve">Advisory board member with CFM relationship identified; outreach initiated</w:t>
      </w:r>
    </w:p>
    <w:p>
      <w:pPr>
        <w:pStyle w:val="ListParagraph"/>
        <w:numPr>
          <w:ilvl w:val="0"/>
          <w:numId w:val="2"/>
        </w:numPr>
        <w:spacing w:after="80" w:line="276"/>
      </w:pPr>
      <w:r>
        <w:rPr>
          <w:rFonts w:ascii="Arial" w:cs="Arial" w:eastAsia="Arial" w:hAnsi="Arial"/>
          <w:sz w:val="22"/>
          <w:szCs w:val="22"/>
        </w:rPr>
        <w:t xml:space="preserve">Position paper concept developed: “Responsible CDSS Deployment in Brazilian Healthcare”</w:t>
      </w:r>
    </w:p>
    <w:p>
      <w:pPr>
        <w:pStyle w:val="ListParagraph"/>
        <w:numPr>
          <w:ilvl w:val="0"/>
          <w:numId w:val="2"/>
        </w:numPr>
        <w:spacing w:after="80" w:line="276"/>
      </w:pPr>
      <w:r>
        <w:rPr>
          <w:rFonts w:ascii="Arial" w:cs="Arial" w:eastAsia="Arial" w:hAnsi="Arial"/>
          <w:sz w:val="22"/>
          <w:szCs w:val="22"/>
        </w:rPr>
        <w:t xml:space="preserve">Liability documentation: clear allocation (physician responsible for misuse; Cortex responsible for defects)</w:t>
      </w:r>
    </w:p>
    <w:p>
      <w:pPr>
        <w:spacing w:after="60"/>
      </w:pPr>
    </w:p>
    <w:p>
      <w:pPr>
        <w:pStyle w:val="Heading3"/>
        <w:spacing w:after="150" w:before="300"/>
      </w:pPr>
      <w:r>
        <w:rPr>
          <w:rFonts w:ascii="Arial" w:cs="Arial" w:eastAsia="Arial" w:hAnsi="Arial"/>
        </w:rPr>
        <w:t xml:space="preserve">2.4 Beachhead Hospital Pipeline Development</w:t>
      </w:r>
    </w:p>
    <w:p>
      <w:pPr>
        <w:spacing w:after="120" w:line="276"/>
      </w:pPr>
      <w:r>
        <w:rPr>
          <w:rFonts w:ascii="Arial" w:cs="Arial" w:eastAsia="Arial" w:hAnsi="Arial"/>
          <w:color w:val="000000"/>
          <w:sz w:val="22"/>
          <w:szCs w:val="22"/>
        </w:rPr>
        <w:t xml:space="preserve">Crossing the Chasm analysis: go narrow and deep into 10–15 large teaching hospitals in Sudeste before attempting broad market. Landing one prestigious academic anchor is worth more than 10 mid-market hospitals.</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VICTOR (CSO)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New Product Development (Crossing the Chasm, beachhead), Marketing (clinical champion/economic buyer), Negotiation (Brazilian culture)</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Target list: 10–15 academic hospitals in Sao Paulo and Rio (150–500 beds, 150+ daily admissions)</w:t>
      </w:r>
    </w:p>
    <w:p>
      <w:pPr>
        <w:pStyle w:val="ListParagraph"/>
        <w:numPr>
          <w:ilvl w:val="0"/>
          <w:numId w:val="2"/>
        </w:numPr>
        <w:spacing w:after="80" w:line="276"/>
      </w:pPr>
      <w:r>
        <w:rPr>
          <w:rFonts w:ascii="Arial" w:cs="Arial" w:eastAsia="Arial" w:hAnsi="Arial"/>
          <w:sz w:val="22"/>
          <w:szCs w:val="22"/>
        </w:rPr>
        <w:t xml:space="preserve">Top 3 targets identified with named clinical champions: USP, UNIFESP, Beneficencia Portuguesa</w:t>
      </w:r>
    </w:p>
    <w:p>
      <w:pPr>
        <w:pStyle w:val="ListParagraph"/>
        <w:numPr>
          <w:ilvl w:val="0"/>
          <w:numId w:val="2"/>
        </w:numPr>
        <w:spacing w:after="80" w:line="276"/>
      </w:pPr>
      <w:r>
        <w:rPr>
          <w:rFonts w:ascii="Arial" w:cs="Arial" w:eastAsia="Arial" w:hAnsi="Arial"/>
          <w:sz w:val="22"/>
          <w:szCs w:val="22"/>
        </w:rPr>
        <w:t xml:space="preserve">Relationship engagement sequence designed (multi-month, relationship-first per Brazilian negotiation culture)</w:t>
      </w:r>
    </w:p>
    <w:p>
      <w:pPr>
        <w:pStyle w:val="ListParagraph"/>
        <w:numPr>
          <w:ilvl w:val="0"/>
          <w:numId w:val="2"/>
        </w:numPr>
        <w:spacing w:after="80" w:line="276"/>
      </w:pPr>
      <w:r>
        <w:rPr>
          <w:rFonts w:ascii="Arial" w:cs="Arial" w:eastAsia="Arial" w:hAnsi="Arial"/>
          <w:sz w:val="22"/>
          <w:szCs w:val="22"/>
        </w:rPr>
        <w:t xml:space="preserve">Consultative sales scripts: CMO-first approach (clinical value → implementation ease → ROI → price)</w:t>
      </w:r>
    </w:p>
    <w:p>
      <w:pPr>
        <w:pStyle w:val="ListParagraph"/>
        <w:numPr>
          <w:ilvl w:val="0"/>
          <w:numId w:val="2"/>
        </w:numPr>
        <w:spacing w:after="80" w:line="276"/>
      </w:pPr>
      <w:r>
        <w:rPr>
          <w:rFonts w:ascii="Arial" w:cs="Arial" w:eastAsia="Arial" w:hAnsi="Arial"/>
          <w:sz w:val="22"/>
          <w:szCs w:val="22"/>
        </w:rPr>
        <w:t xml:space="preserve">Top 5 operadora decision-makers mapped (Phase 2 bridge, not active selling yet)</w:t>
      </w:r>
    </w:p>
    <w:p>
      <w:pPr>
        <w:spacing w:after="60"/>
      </w:pPr>
    </w:p>
    <w:p>
      <w:pPr>
        <w:pStyle w:val="Heading3"/>
        <w:spacing w:after="150" w:before="300"/>
      </w:pPr>
      <w:r>
        <w:rPr>
          <w:rFonts w:ascii="Arial" w:cs="Arial" w:eastAsia="Arial" w:hAnsi="Arial"/>
        </w:rPr>
        <w:t xml:space="preserve">2.5 Competitive Moat: EHR API Lock-in + Data Strategy</w:t>
      </w:r>
    </w:p>
    <w:p>
      <w:pPr>
        <w:spacing w:after="120" w:line="276"/>
      </w:pPr>
      <w:r>
        <w:rPr>
          <w:rFonts w:ascii="Arial" w:cs="Arial" w:eastAsia="Arial" w:hAnsi="Arial"/>
          <w:color w:val="000000"/>
          <w:sz w:val="22"/>
          <w:szCs w:val="22"/>
        </w:rPr>
        <w:t xml:space="preserve">Cortex has an 18–24 month defensibility window before EHR vendors (Epic, Cerner, Philips) can bundle CDSS into existing contracts. The actions that build a durable moat: exclusive academic partnerships, multi-year API access, and proprietary outcomes datasets.</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ARCHIE (CTO)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Digital Transformation (network effects, platform economics, information blocking), Strategic Management (VRIO, competitive dynamics)</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Multi-year API access agreements signed with 2+ EHR vendors (contractual language preventing information blocking)</w:t>
      </w:r>
    </w:p>
    <w:p>
      <w:pPr>
        <w:pStyle w:val="ListParagraph"/>
        <w:numPr>
          <w:ilvl w:val="0"/>
          <w:numId w:val="2"/>
        </w:numPr>
        <w:spacing w:after="80" w:line="276"/>
      </w:pPr>
      <w:r>
        <w:rPr>
          <w:rFonts w:ascii="Arial" w:cs="Arial" w:eastAsia="Arial" w:hAnsi="Arial"/>
          <w:sz w:val="22"/>
          <w:szCs w:val="22"/>
        </w:rPr>
        <w:t xml:space="preserve">Data architecture designed for proprietary outcomes accumulation (more hospitals → more comorbidity patterns → better algorithms)</w:t>
      </w:r>
    </w:p>
    <w:p>
      <w:pPr>
        <w:pStyle w:val="ListParagraph"/>
        <w:numPr>
          <w:ilvl w:val="0"/>
          <w:numId w:val="2"/>
        </w:numPr>
        <w:spacing w:after="80" w:line="276"/>
      </w:pPr>
      <w:r>
        <w:rPr>
          <w:rFonts w:ascii="Arial" w:cs="Arial" w:eastAsia="Arial" w:hAnsi="Arial"/>
          <w:sz w:val="22"/>
          <w:szCs w:val="22"/>
        </w:rPr>
        <w:t xml:space="preserve">Platform API spec drafted: Year 3 third-party specialty CDSS apps ecosystem design</w:t>
      </w:r>
    </w:p>
    <w:p>
      <w:pPr>
        <w:pStyle w:val="ListParagraph"/>
        <w:numPr>
          <w:ilvl w:val="0"/>
          <w:numId w:val="2"/>
        </w:numPr>
        <w:spacing w:after="80" w:line="276"/>
      </w:pPr>
      <w:r>
        <w:rPr>
          <w:rFonts w:ascii="Arial" w:cs="Arial" w:eastAsia="Arial" w:hAnsi="Arial"/>
          <w:sz w:val="22"/>
          <w:szCs w:val="22"/>
        </w:rPr>
        <w:t xml:space="preserve">FHIR R4 server operational; HL7v2 bidirectional messaging functional</w:t>
      </w:r>
    </w:p>
    <w:p>
      <w:r>
        <w:br w:type="page"/>
      </w:r>
    </w:p>
    <w:p>
      <w:pPr>
        <w:pStyle w:val="Heading2"/>
        <w:spacing w:after="150" w:before="300"/>
      </w:pPr>
      <w:r>
        <w:rPr>
          <w:rFonts w:ascii="Arial" w:cs="Arial" w:eastAsia="Arial" w:hAnsi="Arial"/>
        </w:rPr>
        <w:t xml:space="preserve">Phase 2 Gate Review: Month 6 Go/No-Go</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0"/>
        <w:gridCol w:w="2324"/>
        <w:gridCol w:w="2324"/>
      </w:tblGrid>
      <w:tr>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Gate Criterion</w:t>
            </w:r>
          </w:p>
        </w:tc>
        <w:tc>
          <w:tcPr>
            <w:tcW w:type="dxa" w:w="23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Pass Condition</w:t>
            </w:r>
          </w:p>
        </w:tc>
        <w:tc>
          <w:tcPr>
            <w:tcW w:type="dxa" w:w="23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If Fail</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EHR integration demo working</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Bidirectional read/write with 1 vendor</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E74C3C"/>
                <w:sz w:val="20"/>
                <w:szCs w:val="20"/>
              </w:rPr>
              <w:t xml:space="preserve">STOP: No hospital deployment possible</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Clinical validation data collection underway</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IRB approved, 10+ cases enrolled</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Delay Phase 3 hospital pilots by 90 days</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Pricing model validated via pilot conversations</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 hospitals responded positively to pricing structure</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Revise pricing; extend Phase 2 by 30 days</w:t>
            </w:r>
          </w:p>
        </w:tc>
      </w:tr>
      <w:tr>
        <w:tc>
          <w:tcPr>
            <w:tcW w:type="dxa" w:w="5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Operadora financial model complete</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3-scenario model with attribution methodology</w:t>
            </w:r>
          </w:p>
        </w:tc>
        <w:tc>
          <w:tcPr>
            <w:tcW w:type="dxa" w:w="23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Block operadora outreach until ready</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Safety Firewall implemented in product</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Four-tier system functional in staging</w:t>
            </w:r>
          </w:p>
        </w:tc>
        <w:tc>
          <w:tcPr>
            <w:tcW w:type="dxa" w:w="23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E74C3C"/>
                <w:sz w:val="20"/>
                <w:szCs w:val="20"/>
              </w:rPr>
              <w:t xml:space="preserve">STOP: No clinical deployment without safety layer</w:t>
            </w:r>
          </w:p>
        </w:tc>
      </w:tr>
    </w:tbl>
    <w:p>
      <w:r>
        <w:br w:type="page"/>
      </w:r>
    </w:p>
    <w:p>
      <w:pPr>
        <w:pStyle w:val="Heading1"/>
        <w:spacing w:after="150" w:before="300"/>
      </w:pPr>
      <w:r>
        <w:rPr>
          <w:rFonts w:ascii="Arial" w:cs="Arial" w:eastAsia="Arial" w:hAnsi="Arial"/>
        </w:rPr>
        <w:t xml:space="preserve">Phase 3: Market Entry (Months 7–12)</w:t>
      </w:r>
    </w:p>
    <w:p>
      <w:pPr>
        <w:spacing w:after="120" w:line="276"/>
      </w:pPr>
      <w:r>
        <w:rPr>
          <w:rFonts w:ascii="Arial" w:cs="Arial" w:eastAsia="Arial" w:hAnsi="Arial"/>
          <w:b/>
          <w:bCs/>
          <w:sz w:val="22"/>
          <w:szCs w:val="22"/>
        </w:rPr>
        <w:t xml:space="preserve">Urgency: </w:t>
      </w:r>
      <w:r>
        <w:rPr>
          <w:rFonts w:ascii="Arial" w:cs="Arial" w:eastAsia="Arial" w:hAnsi="Arial"/>
          <w:b/>
          <w:bCs/>
          <w:color w:val="27AE60"/>
          <w:sz w:val="22"/>
          <w:szCs w:val="22"/>
        </w:rPr>
        <w:t xml:space="preserve">NEXT 6 MONTHS</w:t>
      </w:r>
      <w:r>
        <w:rPr>
          <w:rFonts w:ascii="Arial" w:cs="Arial" w:eastAsia="Arial" w:hAnsi="Arial"/>
          <w:sz w:val="22"/>
          <w:szCs w:val="22"/>
        </w:rPr>
        <w:t xml:space="preserve"> — Execute hospital pilots, close first operadora conversation, publish validation results, prepare Series A.</w:t>
      </w:r>
    </w:p>
    <w:p>
      <w:pPr>
        <w:spacing w:after="60"/>
      </w:pPr>
    </w:p>
    <w:p>
      <w:pPr>
        <w:pStyle w:val="Heading3"/>
        <w:spacing w:after="150" w:before="300"/>
      </w:pPr>
      <w:r>
        <w:rPr>
          <w:rFonts w:ascii="Arial" w:cs="Arial" w:eastAsia="Arial" w:hAnsi="Arial"/>
        </w:rPr>
        <w:t xml:space="preserve">3.1 First Hospital Pilot Deployment</w:t>
      </w:r>
    </w:p>
    <w:p>
      <w:pPr>
        <w:spacing w:after="120" w:line="276"/>
      </w:pPr>
      <w:r>
        <w:rPr>
          <w:rFonts w:ascii="Arial" w:cs="Arial" w:eastAsia="Arial" w:hAnsi="Arial"/>
          <w:color w:val="000000"/>
          <w:sz w:val="22"/>
          <w:szCs w:val="22"/>
        </w:rPr>
        <w:t xml:space="preserve">Deploy Cortex at 1–2 beachhead academic hospitals. The pilot proves clinical value, generates outcomes data, and creates reference customers for operadora conversations.</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ARCHIE (CTO) + ELENA (CMO)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Managing Complex Projects (6-phase CDSS implementation playbook), Operations (clinical implementation ops)</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1–2 academic hospitals live on Cortex CDSS with EHR integration</w:t>
      </w:r>
    </w:p>
    <w:p>
      <w:pPr>
        <w:pStyle w:val="ListParagraph"/>
        <w:numPr>
          <w:ilvl w:val="0"/>
          <w:numId w:val="2"/>
        </w:numPr>
        <w:spacing w:after="80" w:line="276"/>
      </w:pPr>
      <w:r>
        <w:rPr>
          <w:rFonts w:ascii="Arial" w:cs="Arial" w:eastAsia="Arial" w:hAnsi="Arial"/>
          <w:sz w:val="22"/>
          <w:szCs w:val="22"/>
        </w:rPr>
        <w:t xml:space="preserve">Safety Firewall operational with real-time monitoring dashboard</w:t>
      </w:r>
    </w:p>
    <w:p>
      <w:pPr>
        <w:pStyle w:val="ListParagraph"/>
        <w:numPr>
          <w:ilvl w:val="0"/>
          <w:numId w:val="2"/>
        </w:numPr>
        <w:spacing w:after="80" w:line="276"/>
      </w:pPr>
      <w:r>
        <w:rPr>
          <w:rFonts w:ascii="Arial" w:cs="Arial" w:eastAsia="Arial" w:hAnsi="Arial"/>
          <w:sz w:val="22"/>
          <w:szCs w:val="22"/>
        </w:rPr>
        <w:t xml:space="preserve">KPIs tracked: alert acceptance rate (target &gt;70% for Critical), sensitivity/specificity, time-to-diagnosis, physician satisfaction</w:t>
      </w:r>
    </w:p>
    <w:p>
      <w:pPr>
        <w:pStyle w:val="ListParagraph"/>
        <w:numPr>
          <w:ilvl w:val="0"/>
          <w:numId w:val="2"/>
        </w:numPr>
        <w:spacing w:after="80" w:line="276"/>
      </w:pPr>
      <w:r>
        <w:rPr>
          <w:rFonts w:ascii="Arial" w:cs="Arial" w:eastAsia="Arial" w:hAnsi="Arial"/>
          <w:sz w:val="22"/>
          <w:szCs w:val="22"/>
        </w:rPr>
        <w:t xml:space="preserve">Monthly outcomes report generated for hospital leadership</w:t>
      </w:r>
    </w:p>
    <w:p>
      <w:pPr>
        <w:pStyle w:val="ListParagraph"/>
        <w:numPr>
          <w:ilvl w:val="0"/>
          <w:numId w:val="2"/>
        </w:numPr>
        <w:spacing w:after="80" w:line="276"/>
      </w:pPr>
      <w:r>
        <w:rPr>
          <w:rFonts w:ascii="Arial" w:cs="Arial" w:eastAsia="Arial" w:hAnsi="Arial"/>
          <w:sz w:val="22"/>
          <w:szCs w:val="22"/>
        </w:rPr>
        <w:t xml:space="preserve">6-phase implementation: Discovery (2 weeks) → Design (3 weeks) → Build (4 weeks) → Pilot (4 weeks) → Rollout (4 weeks) → Optimization (ongoing)</w:t>
      </w:r>
    </w:p>
    <w:p>
      <w:pPr>
        <w:spacing w:after="60"/>
      </w:pPr>
    </w:p>
    <w:p>
      <w:pPr>
        <w:pStyle w:val="Heading3"/>
        <w:spacing w:after="150" w:before="300"/>
      </w:pPr>
      <w:r>
        <w:rPr>
          <w:rFonts w:ascii="Arial" w:cs="Arial" w:eastAsia="Arial" w:hAnsi="Arial"/>
        </w:rPr>
        <w:t xml:space="preserve">3.2 Operadora Engagement: First Conversation</w:t>
      </w:r>
    </w:p>
    <w:p>
      <w:pPr>
        <w:spacing w:after="120" w:line="276"/>
      </w:pPr>
      <w:r>
        <w:rPr>
          <w:rFonts w:ascii="Arial" w:cs="Arial" w:eastAsia="Arial" w:hAnsi="Arial"/>
          <w:color w:val="000000"/>
          <w:sz w:val="22"/>
          <w:szCs w:val="22"/>
        </w:rPr>
        <w:t xml:space="preserve">With hospital pilot data in hand, initiate operadora conversations. Phase 2 economic modeling provides the credible pitch. Relationship-building via advisory board bridges.</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VICTOR (CSO) + GORDON (CFO)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Health Financing (operadora business model), Negotiation (operadora contract playbook)</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Top 3 operadoras in active conversation (Amil, Hapvida, SulAmerica, or equivalent)</w:t>
      </w:r>
    </w:p>
    <w:p>
      <w:pPr>
        <w:pStyle w:val="ListParagraph"/>
        <w:numPr>
          <w:ilvl w:val="0"/>
          <w:numId w:val="2"/>
        </w:numPr>
        <w:spacing w:after="80" w:line="276"/>
      </w:pPr>
      <w:r>
        <w:rPr>
          <w:rFonts w:ascii="Arial" w:cs="Arial" w:eastAsia="Arial" w:hAnsi="Arial"/>
          <w:sz w:val="22"/>
          <w:szCs w:val="22"/>
        </w:rPr>
        <w:t xml:space="preserve">Pilot proposal presented: 6-month proof-of-value on one hospital in operadora network</w:t>
      </w:r>
    </w:p>
    <w:p>
      <w:pPr>
        <w:pStyle w:val="ListParagraph"/>
        <w:numPr>
          <w:ilvl w:val="0"/>
          <w:numId w:val="2"/>
        </w:numPr>
        <w:spacing w:after="80" w:line="276"/>
      </w:pPr>
      <w:r>
        <w:rPr>
          <w:rFonts w:ascii="Arial" w:cs="Arial" w:eastAsia="Arial" w:hAnsi="Arial"/>
          <w:sz w:val="22"/>
          <w:szCs w:val="22"/>
        </w:rPr>
        <w:t xml:space="preserve">Revenue-share terms proposed: base fee + 30% of documented sinistralidade reduction</w:t>
      </w:r>
    </w:p>
    <w:p>
      <w:pPr>
        <w:pStyle w:val="ListParagraph"/>
        <w:numPr>
          <w:ilvl w:val="0"/>
          <w:numId w:val="2"/>
        </w:numPr>
        <w:spacing w:after="80" w:line="276"/>
      </w:pPr>
      <w:r>
        <w:rPr>
          <w:rFonts w:ascii="Arial" w:cs="Arial" w:eastAsia="Arial" w:hAnsi="Arial"/>
          <w:sz w:val="22"/>
          <w:szCs w:val="22"/>
        </w:rPr>
        <w:t xml:space="preserve">Control group methodology agreed upon for savings attribution</w:t>
      </w:r>
    </w:p>
    <w:p>
      <w:pPr>
        <w:spacing w:after="60"/>
      </w:pPr>
    </w:p>
    <w:p>
      <w:pPr>
        <w:pStyle w:val="Heading3"/>
        <w:spacing w:after="150" w:before="300"/>
      </w:pPr>
      <w:r>
        <w:rPr>
          <w:rFonts w:ascii="Arial" w:cs="Arial" w:eastAsia="Arial" w:hAnsi="Arial"/>
        </w:rPr>
        <w:t xml:space="preserve">3.3 Clinical Validation Publication</w:t>
      </w:r>
    </w:p>
    <w:p>
      <w:pPr>
        <w:spacing w:after="120" w:line="276"/>
      </w:pPr>
      <w:r>
        <w:rPr>
          <w:rFonts w:ascii="Arial" w:cs="Arial" w:eastAsia="Arial" w:hAnsi="Arial"/>
          <w:color w:val="000000"/>
          <w:sz w:val="22"/>
          <w:szCs w:val="22"/>
        </w:rPr>
        <w:t xml:space="preserve">Complete data collection, analyze results, submit for peer review. This is the single deliverable that transitions Cortex from “promising startup” to “clinically validated platform.”</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ELENA (CMO)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Business Analytics (diagnostic accuracy metrics), AI Essentials (model evaluation)</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50–100 cases analyzed: sensitivity, specificity, PPV, NPV, ROC-AUC reported</w:t>
      </w:r>
    </w:p>
    <w:p>
      <w:pPr>
        <w:pStyle w:val="ListParagraph"/>
        <w:numPr>
          <w:ilvl w:val="0"/>
          <w:numId w:val="2"/>
        </w:numPr>
        <w:spacing w:after="80" w:line="276"/>
      </w:pPr>
      <w:r>
        <w:rPr>
          <w:rFonts w:ascii="Arial" w:cs="Arial" w:eastAsia="Arial" w:hAnsi="Arial"/>
          <w:sz w:val="22"/>
          <w:szCs w:val="22"/>
        </w:rPr>
        <w:t xml:space="preserve">Manuscript submitted to Brazilian medical journal or international health informatics journal</w:t>
      </w:r>
    </w:p>
    <w:p>
      <w:pPr>
        <w:pStyle w:val="ListParagraph"/>
        <w:numPr>
          <w:ilvl w:val="0"/>
          <w:numId w:val="2"/>
        </w:numPr>
        <w:spacing w:after="80" w:line="276"/>
      </w:pPr>
      <w:r>
        <w:rPr>
          <w:rFonts w:ascii="Arial" w:cs="Arial" w:eastAsia="Arial" w:hAnsi="Arial"/>
          <w:sz w:val="22"/>
          <w:szCs w:val="22"/>
        </w:rPr>
        <w:t xml:space="preserve">Results shared with advisory board and target hospital leadership</w:t>
      </w:r>
    </w:p>
    <w:p>
      <w:pPr>
        <w:pStyle w:val="ListParagraph"/>
        <w:numPr>
          <w:ilvl w:val="0"/>
          <w:numId w:val="2"/>
        </w:numPr>
        <w:spacing w:after="80" w:line="276"/>
      </w:pPr>
      <w:r>
        <w:rPr>
          <w:rFonts w:ascii="Arial" w:cs="Arial" w:eastAsia="Arial" w:hAnsi="Arial"/>
          <w:sz w:val="22"/>
          <w:szCs w:val="22"/>
        </w:rPr>
        <w:t xml:space="preserve">If AUC &lt; 0.75: pause commercial deployment, return to model improvement</w:t>
      </w:r>
    </w:p>
    <w:p>
      <w:pPr>
        <w:spacing w:after="60"/>
      </w:pPr>
    </w:p>
    <w:p>
      <w:pPr>
        <w:pStyle w:val="Heading3"/>
        <w:spacing w:after="150" w:before="300"/>
      </w:pPr>
      <w:r>
        <w:rPr>
          <w:rFonts w:ascii="Arial" w:cs="Arial" w:eastAsia="Arial" w:hAnsi="Arial"/>
        </w:rPr>
        <w:t xml:space="preserve">3.4 ANVISA Submission</w:t>
      </w:r>
    </w:p>
    <w:p>
      <w:pPr>
        <w:spacing w:after="120" w:line="276"/>
      </w:pPr>
      <w:r>
        <w:rPr>
          <w:rFonts w:ascii="Arial" w:cs="Arial" w:eastAsia="Arial" w:hAnsi="Arial"/>
          <w:color w:val="000000"/>
          <w:sz w:val="22"/>
          <w:szCs w:val="22"/>
        </w:rPr>
        <w:t xml:space="preserve">With technical file complete, clinical data collected, and risk analysis finalized, submit to ANVISA for SaMD classification review.</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RUTH (CLO) + Regulatory Lead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Health Care Law (ANVISA RDC 657/2022), Medical Devices (ANVISA pathway)</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Technical file complete: software documentation, architecture, intended use, risk analysis</w:t>
      </w:r>
    </w:p>
    <w:p>
      <w:pPr>
        <w:pStyle w:val="ListParagraph"/>
        <w:numPr>
          <w:ilvl w:val="0"/>
          <w:numId w:val="2"/>
        </w:numPr>
        <w:spacing w:after="80" w:line="276"/>
      </w:pPr>
      <w:r>
        <w:rPr>
          <w:rFonts w:ascii="Arial" w:cs="Arial" w:eastAsia="Arial" w:hAnsi="Arial"/>
          <w:sz w:val="22"/>
          <w:szCs w:val="22"/>
        </w:rPr>
        <w:t xml:space="preserve">Clinical validation data package compiled</w:t>
      </w:r>
    </w:p>
    <w:p>
      <w:pPr>
        <w:pStyle w:val="ListParagraph"/>
        <w:numPr>
          <w:ilvl w:val="0"/>
          <w:numId w:val="2"/>
        </w:numPr>
        <w:spacing w:after="80" w:line="276"/>
      </w:pPr>
      <w:r>
        <w:rPr>
          <w:rFonts w:ascii="Arial" w:cs="Arial" w:eastAsia="Arial" w:hAnsi="Arial"/>
          <w:sz w:val="22"/>
          <w:szCs w:val="22"/>
        </w:rPr>
        <w:t xml:space="preserve">Post-market surveillance plan drafted</w:t>
      </w:r>
    </w:p>
    <w:p>
      <w:pPr>
        <w:pStyle w:val="ListParagraph"/>
        <w:numPr>
          <w:ilvl w:val="0"/>
          <w:numId w:val="2"/>
        </w:numPr>
        <w:spacing w:after="80" w:line="276"/>
      </w:pPr>
      <w:r>
        <w:rPr>
          <w:rFonts w:ascii="Arial" w:cs="Arial" w:eastAsia="Arial" w:hAnsi="Arial"/>
          <w:sz w:val="22"/>
          <w:szCs w:val="22"/>
        </w:rPr>
        <w:t xml:space="preserve">ANVISA submission filed; estimated review timeline: 6–12 months from submission</w:t>
      </w:r>
    </w:p>
    <w:p>
      <w:pPr>
        <w:spacing w:after="60"/>
      </w:pPr>
    </w:p>
    <w:p>
      <w:pPr>
        <w:pStyle w:val="Heading3"/>
        <w:spacing w:after="150" w:before="300"/>
      </w:pPr>
      <w:r>
        <w:rPr>
          <w:rFonts w:ascii="Arial" w:cs="Arial" w:eastAsia="Arial" w:hAnsi="Arial"/>
        </w:rPr>
        <w:t xml:space="preserve">3.5 Series A Preparation</w:t>
      </w:r>
    </w:p>
    <w:p>
      <w:pPr>
        <w:spacing w:after="120" w:line="276"/>
      </w:pPr>
      <w:r>
        <w:rPr>
          <w:rFonts w:ascii="Arial" w:cs="Arial" w:eastAsia="Arial" w:hAnsi="Arial"/>
          <w:color w:val="000000"/>
          <w:sz w:val="22"/>
          <w:szCs w:val="22"/>
        </w:rPr>
        <w:t xml:space="preserve">With pilot data, operadora conversations, and ANVISA submission in progress, begin Series A fundraising.</w:t>
      </w:r>
    </w:p>
    <w:p>
      <w:pPr>
        <w:spacing w:after="120" w:line="276"/>
      </w:pPr>
      <w:r>
        <w:rPr>
          <w:rFonts w:ascii="Arial" w:cs="Arial" w:eastAsia="Arial" w:hAnsi="Arial"/>
          <w:b/>
          <w:bCs/>
          <w:sz w:val="22"/>
          <w:szCs w:val="22"/>
        </w:rPr>
        <w:t xml:space="preserve">Owner: </w:t>
      </w:r>
      <w:r>
        <w:rPr>
          <w:rFonts w:ascii="Arial" w:cs="Arial" w:eastAsia="Arial" w:hAnsi="Arial"/>
          <w:sz w:val="22"/>
          <w:szCs w:val="22"/>
        </w:rPr>
        <w:t xml:space="preserve">Nico (CEO) + GORDON (CFO)  |  </w:t>
      </w:r>
      <w:r>
        <w:rPr>
          <w:rFonts w:ascii="Arial" w:cs="Arial" w:eastAsia="Arial" w:hAnsi="Arial"/>
          <w:i/>
          <w:iCs/>
          <w:color w:val="5D6D7E"/>
          <w:sz w:val="22"/>
          <w:szCs w:val="22"/>
        </w:rPr>
        <w:t xml:space="preserve">Source: </w:t>
      </w:r>
      <w:r>
        <w:rPr>
          <w:rFonts w:ascii="Arial" w:cs="Arial" w:eastAsia="Arial" w:hAnsi="Arial"/>
          <w:i/>
          <w:iCs/>
          <w:color w:val="5D6D7E"/>
          <w:sz w:val="22"/>
          <w:szCs w:val="22"/>
        </w:rPr>
        <w:t xml:space="preserve">Corporate Finance (valuation, WACC), Negotiation (investor term sheets)</w:t>
      </w:r>
    </w:p>
    <w:p>
      <w:pPr>
        <w:spacing w:after="60"/>
      </w:pPr>
    </w:p>
    <w:p>
      <w:pPr>
        <w:spacing w:after="120" w:line="276"/>
      </w:pPr>
      <w:r>
        <w:rPr>
          <w:rFonts w:ascii="Arial" w:cs="Arial" w:eastAsia="Arial" w:hAnsi="Arial"/>
          <w:b/>
          <w:bCs/>
          <w:color w:val="000000"/>
          <w:sz w:val="22"/>
          <w:szCs w:val="22"/>
        </w:rPr>
        <w:t xml:space="preserve">Acceptance Criteria:</w:t>
      </w:r>
    </w:p>
    <w:p>
      <w:pPr>
        <w:pStyle w:val="ListParagraph"/>
        <w:numPr>
          <w:ilvl w:val="0"/>
          <w:numId w:val="2"/>
        </w:numPr>
        <w:spacing w:after="80" w:line="276"/>
      </w:pPr>
      <w:r>
        <w:rPr>
          <w:rFonts w:ascii="Arial" w:cs="Arial" w:eastAsia="Arial" w:hAnsi="Arial"/>
          <w:sz w:val="22"/>
          <w:szCs w:val="22"/>
        </w:rPr>
        <w:t xml:space="preserve">Pitch deck with validated unit economics: hospital + operadora models with real pilot data</w:t>
      </w:r>
    </w:p>
    <w:p>
      <w:pPr>
        <w:pStyle w:val="ListParagraph"/>
        <w:numPr>
          <w:ilvl w:val="0"/>
          <w:numId w:val="2"/>
        </w:numPr>
        <w:spacing w:after="80" w:line="276"/>
      </w:pPr>
      <w:r>
        <w:rPr>
          <w:rFonts w:ascii="Arial" w:cs="Arial" w:eastAsia="Arial" w:hAnsi="Arial"/>
          <w:sz w:val="22"/>
          <w:szCs w:val="22"/>
        </w:rPr>
        <w:t xml:space="preserve">3-year financial projections: conservative/base/upside scenarios</w:t>
      </w:r>
    </w:p>
    <w:p>
      <w:pPr>
        <w:pStyle w:val="ListParagraph"/>
        <w:numPr>
          <w:ilvl w:val="0"/>
          <w:numId w:val="2"/>
        </w:numPr>
        <w:spacing w:after="80" w:line="276"/>
      </w:pPr>
      <w:r>
        <w:rPr>
          <w:rFonts w:ascii="Arial" w:cs="Arial" w:eastAsia="Arial" w:hAnsi="Arial"/>
          <w:sz w:val="22"/>
          <w:szCs w:val="22"/>
        </w:rPr>
        <w:t xml:space="preserve">Term sheet negotiation prep: accept broad-based weighted average anti-dilution, 1x non-participating liquidation preference</w:t>
      </w:r>
    </w:p>
    <w:p>
      <w:pPr>
        <w:pStyle w:val="ListParagraph"/>
        <w:numPr>
          <w:ilvl w:val="0"/>
          <w:numId w:val="2"/>
        </w:numPr>
        <w:spacing w:after="80" w:line="276"/>
      </w:pPr>
      <w:r>
        <w:rPr>
          <w:rFonts w:ascii="Arial" w:cs="Arial" w:eastAsia="Arial" w:hAnsi="Arial"/>
          <w:sz w:val="22"/>
          <w:szCs w:val="22"/>
        </w:rPr>
        <w:t xml:space="preserve">Board seat strategy: offer if investor brings strategic value (operadora networks, CADE relationships)</w:t>
      </w:r>
    </w:p>
    <w:p>
      <w:pPr>
        <w:pStyle w:val="ListParagraph"/>
        <w:numPr>
          <w:ilvl w:val="0"/>
          <w:numId w:val="2"/>
        </w:numPr>
        <w:spacing w:after="80" w:line="276"/>
      </w:pPr>
      <w:r>
        <w:rPr>
          <w:rFonts w:ascii="Arial" w:cs="Arial" w:eastAsia="Arial" w:hAnsi="Arial"/>
          <w:sz w:val="22"/>
          <w:szCs w:val="22"/>
        </w:rPr>
        <w:t xml:space="preserve">Defensible moat narrative: NLP advantage in Portuguese, proprietary Brazilian clinical dataset, exclusive academic partnerships, ANVISA regulatory head start</w:t>
      </w:r>
    </w:p>
    <w:p>
      <w:r>
        <w:br w:type="page"/>
      </w:r>
    </w:p>
    <w:p>
      <w:pPr>
        <w:pStyle w:val="Heading2"/>
        <w:spacing w:after="150" w:before="300"/>
      </w:pPr>
      <w:r>
        <w:rPr>
          <w:rFonts w:ascii="Arial" w:cs="Arial" w:eastAsia="Arial" w:hAnsi="Arial"/>
        </w:rPr>
        <w:t xml:space="preserve">Phase 3 Gate Review: Month 12 Strategic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2824"/>
        <w:gridCol w:w="2824"/>
      </w:tblGrid>
      <w:t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Gate Criterion</w:t>
            </w:r>
          </w:p>
        </w:tc>
        <w:tc>
          <w:tcPr>
            <w:tcW w:type="dxa" w:w="28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Pass → Scale</w:t>
            </w:r>
          </w:p>
        </w:tc>
        <w:tc>
          <w:tcPr>
            <w:tcW w:type="dxa" w:w="282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Fail → Action</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Hospital pilot producing outcomes data</w:t>
            </w:r>
          </w:p>
        </w:tc>
        <w:tc>
          <w:tcPr>
            <w:tcW w:type="dxa" w:w="28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1–2 hospitals live, KPIs on track</w:t>
            </w:r>
          </w:p>
        </w:tc>
        <w:tc>
          <w:tcPr>
            <w:tcW w:type="dxa" w:w="28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Diagnose failure mode; pivot or extend pilot</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Operadora in active negotiation</w:t>
            </w:r>
          </w:p>
        </w:tc>
        <w:tc>
          <w:tcPr>
            <w:tcW w:type="dxa" w:w="28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 operadora in pilot proposal stage</w:t>
            </w:r>
          </w:p>
        </w:tc>
        <w:tc>
          <w:tcPr>
            <w:tcW w:type="dxa" w:w="28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Reassess operadora value prop; consider hospital-only model</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Validation study results positive</w:t>
            </w:r>
          </w:p>
        </w:tc>
        <w:tc>
          <w:tcPr>
            <w:tcW w:type="dxa" w:w="28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AUC ≥ 0.75, manuscript submitted</w:t>
            </w:r>
          </w:p>
        </w:tc>
        <w:tc>
          <w:tcPr>
            <w:tcW w:type="dxa" w:w="28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E74C3C"/>
                <w:sz w:val="20"/>
                <w:szCs w:val="20"/>
              </w:rPr>
              <w:t xml:space="preserve">Pause commercial expansion; improve model</w:t>
            </w:r>
          </w:p>
        </w:tc>
      </w:tr>
      <w:tr>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ANVISA submission filed</w:t>
            </w:r>
          </w:p>
        </w:tc>
        <w:tc>
          <w:tcPr>
            <w:tcW w:type="dxa" w:w="28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Submission accepted for review</w:t>
            </w:r>
          </w:p>
        </w:tc>
        <w:tc>
          <w:tcPr>
            <w:tcW w:type="dxa" w:w="282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Extend regulatory timeline; continue pilot under clinical research exemption</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Series A readiness</w:t>
            </w:r>
          </w:p>
        </w:tc>
        <w:tc>
          <w:tcPr>
            <w:tcW w:type="dxa" w:w="28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Pitch deck with real data; 3+ investor conversations</w:t>
            </w:r>
          </w:p>
        </w:tc>
        <w:tc>
          <w:tcPr>
            <w:tcW w:type="dxa" w:w="282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Bridge financing; extend runway 6 months</w:t>
            </w:r>
          </w:p>
        </w:tc>
      </w:tr>
    </w:tbl>
    <w:p>
      <w:r>
        <w:br w:type="page"/>
      </w:r>
    </w:p>
    <w:p>
      <w:pPr>
        <w:pStyle w:val="Heading1"/>
        <w:spacing w:after="150" w:before="300"/>
      </w:pPr>
      <w:r>
        <w:rPr>
          <w:rFonts w:ascii="Arial" w:cs="Arial" w:eastAsia="Arial" w:hAnsi="Arial"/>
        </w:rPr>
        <w:t xml:space="preserve">Non-Goals (Explicitly Out of Scope for Year 1)</w:t>
      </w:r>
    </w:p>
    <w:p>
      <w:pPr>
        <w:spacing w:after="60"/>
      </w:pPr>
    </w:p>
    <w:p>
      <w:pPr>
        <w:pStyle w:val="ListParagraph"/>
        <w:numPr>
          <w:ilvl w:val="0"/>
          <w:numId w:val="2"/>
        </w:numPr>
        <w:spacing w:after="80" w:line="276"/>
      </w:pPr>
      <w:r>
        <w:rPr>
          <w:rFonts w:ascii="Arial" w:cs="Arial" w:eastAsia="Arial" w:hAnsi="Arial"/>
          <w:b/>
          <w:bCs/>
          <w:sz w:val="22"/>
          <w:szCs w:val="22"/>
        </w:rPr>
        <w:t xml:space="preserve">SUS market entry. </w:t>
      </w:r>
      <w:r>
        <w:rPr>
          <w:rFonts w:ascii="Arial" w:cs="Arial" w:eastAsia="Arial" w:hAnsi="Arial"/>
          <w:sz w:val="22"/>
          <w:szCs w:val="22"/>
        </w:rPr>
        <w:t xml:space="preserve">SUS providers cannot pay for commercial CDSS. Cortex’s near-term TAM is operadora/private hospital focused. SUS engagement only as academic research partner, not commercial customer.</w:t>
      </w:r>
    </w:p>
    <w:p>
      <w:pPr>
        <w:pStyle w:val="ListParagraph"/>
        <w:numPr>
          <w:ilvl w:val="0"/>
          <w:numId w:val="2"/>
        </w:numPr>
        <w:spacing w:after="80" w:line="276"/>
      </w:pPr>
      <w:r>
        <w:rPr>
          <w:rFonts w:ascii="Arial" w:cs="Arial" w:eastAsia="Arial" w:hAnsi="Arial"/>
          <w:b/>
          <w:bCs/>
          <w:sz w:val="22"/>
          <w:szCs w:val="22"/>
        </w:rPr>
        <w:t xml:space="preserve">Platform ecosystem (third-party apps). </w:t>
      </w:r>
      <w:r>
        <w:rPr>
          <w:rFonts w:ascii="Arial" w:cs="Arial" w:eastAsia="Arial" w:hAnsi="Arial"/>
          <w:sz w:val="22"/>
          <w:szCs w:val="22"/>
        </w:rPr>
        <w:t xml:space="preserve">Year 3 initiative. Design APIs to support it, but do not build marketplace functionality in Year 1.</w:t>
      </w:r>
    </w:p>
    <w:p>
      <w:pPr>
        <w:pStyle w:val="ListParagraph"/>
        <w:numPr>
          <w:ilvl w:val="0"/>
          <w:numId w:val="2"/>
        </w:numPr>
        <w:spacing w:after="80" w:line="276"/>
      </w:pPr>
      <w:r>
        <w:rPr>
          <w:rFonts w:ascii="Arial" w:cs="Arial" w:eastAsia="Arial" w:hAnsi="Arial"/>
          <w:b/>
          <w:bCs/>
          <w:sz w:val="22"/>
          <w:szCs w:val="22"/>
        </w:rPr>
        <w:t xml:space="preserve">Multi-country expansion. </w:t>
      </w:r>
      <w:r>
        <w:rPr>
          <w:rFonts w:ascii="Arial" w:cs="Arial" w:eastAsia="Arial" w:hAnsi="Arial"/>
          <w:sz w:val="22"/>
          <w:szCs w:val="22"/>
        </w:rPr>
        <w:t xml:space="preserve">Mexico and Argentina are in the product vision but should not dilute focus from Brazilian market entry. Each country requires separate regulatory pathway.</w:t>
      </w:r>
    </w:p>
    <w:p>
      <w:pPr>
        <w:pStyle w:val="ListParagraph"/>
        <w:numPr>
          <w:ilvl w:val="0"/>
          <w:numId w:val="2"/>
        </w:numPr>
        <w:spacing w:after="80" w:line="276"/>
      </w:pPr>
      <w:r>
        <w:rPr>
          <w:rFonts w:ascii="Arial" w:cs="Arial" w:eastAsia="Arial" w:hAnsi="Arial"/>
          <w:b/>
          <w:bCs/>
          <w:sz w:val="22"/>
          <w:szCs w:val="22"/>
        </w:rPr>
        <w:t xml:space="preserve">Autonomous CDSS (Class IV). </w:t>
      </w:r>
      <w:r>
        <w:rPr>
          <w:rFonts w:ascii="Arial" w:cs="Arial" w:eastAsia="Arial" w:hAnsi="Arial"/>
          <w:sz w:val="22"/>
          <w:szCs w:val="22"/>
        </w:rPr>
        <w:t xml:space="preserve">Position Cortex as physician-augmenting (Class III), not physician-replacing. Autonomous classification adds 12–24 months of regulatory burden and creates physician resistance.</w:t>
      </w:r>
    </w:p>
    <w:p>
      <w:pPr>
        <w:pStyle w:val="ListParagraph"/>
        <w:numPr>
          <w:ilvl w:val="0"/>
          <w:numId w:val="2"/>
        </w:numPr>
        <w:spacing w:after="80" w:line="276"/>
      </w:pPr>
      <w:r>
        <w:rPr>
          <w:rFonts w:ascii="Arial" w:cs="Arial" w:eastAsia="Arial" w:hAnsi="Arial"/>
          <w:b/>
          <w:bCs/>
          <w:sz w:val="22"/>
          <w:szCs w:val="22"/>
        </w:rPr>
        <w:t xml:space="preserve">Direct-to-patient features. </w:t>
      </w:r>
      <w:r>
        <w:rPr>
          <w:rFonts w:ascii="Arial" w:cs="Arial" w:eastAsia="Arial" w:hAnsi="Arial"/>
          <w:sz w:val="22"/>
          <w:szCs w:val="22"/>
        </w:rPr>
        <w:t xml:space="preserve">Cortex is B2B (hospital/operadora). Patient-facing features are scope creep that dilutes the clinical value proposition.</w:t>
      </w:r>
    </w:p>
    <w:p>
      <w:r>
        <w:br w:type="page"/>
      </w:r>
    </w:p>
    <w:p>
      <w:pPr>
        <w:pStyle w:val="Heading1"/>
        <w:spacing w:after="150" w:before="300"/>
      </w:pPr>
      <w:r>
        <w:rPr>
          <w:rFonts w:ascii="Arial" w:cs="Arial" w:eastAsia="Arial" w:hAnsi="Arial"/>
        </w:rPr>
        <w:t xml:space="preserve">Open Questions</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500"/>
        <w:gridCol w:w="2574"/>
        <w:gridCol w:w="2574"/>
      </w:tblGrid>
      <w:tr>
        <w:tc>
          <w:tcPr>
            <w:tcW w:type="dxa" w:w="4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Question</w:t>
            </w:r>
          </w:p>
        </w:tc>
        <w:tc>
          <w:tcPr>
            <w:tcW w:type="dxa" w:w="257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Who Answers</w:t>
            </w:r>
          </w:p>
        </w:tc>
        <w:tc>
          <w:tcPr>
            <w:tcW w:type="dxa" w:w="2574"/>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Blocking?</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Is Cortex Class II or Class III under ANVISA RDC 657/2022? The CDS exemption (4-part test) may apply if Cortex presents information without autonomous recommendations.</w:t>
            </w:r>
          </w:p>
        </w:tc>
        <w:tc>
          <w:tcPr>
            <w:tcW w:type="dxa" w:w="257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Regulatory Lead + RUTH</w:t>
            </w:r>
          </w:p>
        </w:tc>
        <w:tc>
          <w:tcPr>
            <w:tcW w:type="dxa" w:w="257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E74C3C"/>
                <w:sz w:val="20"/>
                <w:szCs w:val="20"/>
              </w:rPr>
              <w:t xml:space="preserve">YES — determines entire regulatory timeline</w:t>
            </w:r>
          </w:p>
        </w:tc>
      </w:tr>
      <w:tr>
        <w:tc>
          <w:tcPr>
            <w:tcW w:type="dxa" w:w="4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Which EHR vendor has the largest installed base in target beachhead hospitals? This determines integration priority order.</w:t>
            </w:r>
          </w:p>
        </w:tc>
        <w:tc>
          <w:tcPr>
            <w:tcW w:type="dxa" w:w="257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ARCHIE + VICTOR</w:t>
            </w:r>
          </w:p>
        </w:tc>
        <w:tc>
          <w:tcPr>
            <w:tcW w:type="dxa" w:w="257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YES — blocks integration work</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What is Cortex’s current burn rate and runway? This determines whether bridge financing is needed before Series A.</w:t>
            </w:r>
          </w:p>
        </w:tc>
        <w:tc>
          <w:tcPr>
            <w:tcW w:type="dxa" w:w="257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GORDON + Nico</w:t>
            </w:r>
          </w:p>
        </w:tc>
        <w:tc>
          <w:tcPr>
            <w:tcW w:type="dxa" w:w="257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E74C3C"/>
                <w:sz w:val="20"/>
                <w:szCs w:val="20"/>
              </w:rPr>
              <w:t xml:space="preserve">YES — determines hiring pace</w:t>
            </w:r>
          </w:p>
        </w:tc>
      </w:tr>
      <w:tr>
        <w:tc>
          <w:tcPr>
            <w:tcW w:type="dxa" w:w="4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Does the Pequeno Cotolengo pilot produce transferable outcomes data, or is it too specialized (palliative care) for general hospital sales conversations?</w:t>
            </w:r>
          </w:p>
        </w:tc>
        <w:tc>
          <w:tcPr>
            <w:tcW w:type="dxa" w:w="257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ELENA + VICTOR</w:t>
            </w:r>
          </w:p>
        </w:tc>
        <w:tc>
          <w:tcPr>
            <w:tcW w:type="dxa" w:w="257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No — but informs beachhead narrative</w:t>
            </w:r>
          </w:p>
        </w:tc>
      </w:tr>
      <w:tr>
        <w:tc>
          <w:tcPr>
            <w:tcW w:type="dxa" w:w="4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Is the current product architecture ready for FHIR R4 integration, or does it require significant refactoring?</w:t>
            </w:r>
          </w:p>
        </w:tc>
        <w:tc>
          <w:tcPr>
            <w:tcW w:type="dxa" w:w="257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ARCHIE</w:t>
            </w:r>
          </w:p>
        </w:tc>
        <w:tc>
          <w:tcPr>
            <w:tcW w:type="dxa" w:w="2574"/>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E74C3C"/>
                <w:sz w:val="20"/>
                <w:szCs w:val="20"/>
              </w:rPr>
              <w:t xml:space="preserve">YES — determines Month 6 EHR demo feasibility</w:t>
            </w:r>
          </w:p>
        </w:tc>
      </w:tr>
      <w:tr>
        <w:tc>
          <w:tcPr>
            <w:tcW w:type="dxa" w:w="4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What is the competitive landscape for CDSS in Brazil today? Are there local competitors with ANVISA approval?</w:t>
            </w:r>
          </w:p>
        </w:tc>
        <w:tc>
          <w:tcPr>
            <w:tcW w:type="dxa" w:w="257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VICTOR + ELENA</w:t>
            </w:r>
          </w:p>
        </w:tc>
        <w:tc>
          <w:tcPr>
            <w:tcW w:type="dxa" w:w="2574"/>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No — but informs positioning urgency</w:t>
            </w:r>
          </w:p>
        </w:tc>
      </w:tr>
    </w:tbl>
    <w:p>
      <w:r>
        <w:br w:type="page"/>
      </w:r>
    </w:p>
    <w:p>
      <w:pPr>
        <w:pStyle w:val="Heading1"/>
        <w:spacing w:after="150" w:before="300"/>
      </w:pPr>
      <w:r>
        <w:rPr>
          <w:rFonts w:ascii="Arial" w:cs="Arial" w:eastAsia="Arial" w:hAnsi="Arial"/>
        </w:rPr>
        <w:t xml:space="preserve">Success Metrics</w:t>
      </w:r>
    </w:p>
    <w:p>
      <w:pPr>
        <w:spacing w:after="60"/>
      </w:pPr>
    </w:p>
    <w:p>
      <w:pPr>
        <w:pStyle w:val="Heading2"/>
        <w:spacing w:after="150" w:before="300"/>
      </w:pPr>
      <w:r>
        <w:rPr>
          <w:rFonts w:ascii="Arial" w:cs="Arial" w:eastAsia="Arial" w:hAnsi="Arial"/>
        </w:rPr>
        <w:t xml:space="preserve">Leading Indicators (Weeks)</w:t>
      </w:r>
    </w:p>
    <w:p>
      <w:pPr>
        <w:pStyle w:val="ListParagraph"/>
        <w:numPr>
          <w:ilvl w:val="0"/>
          <w:numId w:val="2"/>
        </w:numPr>
        <w:spacing w:after="80" w:line="276"/>
      </w:pPr>
      <w:r>
        <w:rPr>
          <w:rFonts w:ascii="Arial" w:cs="Arial" w:eastAsia="Arial" w:hAnsi="Arial"/>
          <w:sz w:val="22"/>
          <w:szCs w:val="22"/>
        </w:rPr>
        <w:t xml:space="preserve">Regulatory lead hired and onboarded (Month 2)</w:t>
      </w:r>
    </w:p>
    <w:p>
      <w:pPr>
        <w:pStyle w:val="ListParagraph"/>
        <w:numPr>
          <w:ilvl w:val="0"/>
          <w:numId w:val="2"/>
        </w:numPr>
        <w:spacing w:after="80" w:line="276"/>
      </w:pPr>
      <w:r>
        <w:rPr>
          <w:rFonts w:ascii="Arial" w:cs="Arial" w:eastAsia="Arial" w:hAnsi="Arial"/>
          <w:sz w:val="22"/>
          <w:szCs w:val="22"/>
        </w:rPr>
        <w:t xml:space="preserve">EHR vendor partnership signed (Month 1–2)</w:t>
      </w:r>
    </w:p>
    <w:p>
      <w:pPr>
        <w:pStyle w:val="ListParagraph"/>
        <w:numPr>
          <w:ilvl w:val="0"/>
          <w:numId w:val="2"/>
        </w:numPr>
        <w:spacing w:after="80" w:line="276"/>
      </w:pPr>
      <w:r>
        <w:rPr>
          <w:rFonts w:ascii="Arial" w:cs="Arial" w:eastAsia="Arial" w:hAnsi="Arial"/>
          <w:sz w:val="22"/>
          <w:szCs w:val="22"/>
        </w:rPr>
        <w:t xml:space="preserve">Advisory board: 3+ members recruited (Month 2)</w:t>
      </w:r>
    </w:p>
    <w:p>
      <w:pPr>
        <w:pStyle w:val="ListParagraph"/>
        <w:numPr>
          <w:ilvl w:val="0"/>
          <w:numId w:val="2"/>
        </w:numPr>
        <w:spacing w:after="80" w:line="276"/>
      </w:pPr>
      <w:r>
        <w:rPr>
          <w:rFonts w:ascii="Arial" w:cs="Arial" w:eastAsia="Arial" w:hAnsi="Arial"/>
          <w:sz w:val="22"/>
          <w:szCs w:val="22"/>
        </w:rPr>
        <w:t xml:space="preserve">LGPD templates reviewed by counsel (Month 2)</w:t>
      </w:r>
    </w:p>
    <w:p>
      <w:pPr>
        <w:pStyle w:val="ListParagraph"/>
        <w:numPr>
          <w:ilvl w:val="0"/>
          <w:numId w:val="2"/>
        </w:numPr>
        <w:spacing w:after="80" w:line="276"/>
      </w:pPr>
      <w:r>
        <w:rPr>
          <w:rFonts w:ascii="Arial" w:cs="Arial" w:eastAsia="Arial" w:hAnsi="Arial"/>
          <w:sz w:val="22"/>
          <w:szCs w:val="22"/>
        </w:rPr>
        <w:t xml:space="preserve">Safety Firewall architecture spec approved (Month 2)</w:t>
      </w:r>
    </w:p>
    <w:p>
      <w:pPr>
        <w:pStyle w:val="ListParagraph"/>
        <w:numPr>
          <w:ilvl w:val="0"/>
          <w:numId w:val="2"/>
        </w:numPr>
        <w:spacing w:after="80" w:line="276"/>
      </w:pPr>
      <w:r>
        <w:rPr>
          <w:rFonts w:ascii="Arial" w:cs="Arial" w:eastAsia="Arial" w:hAnsi="Arial"/>
          <w:sz w:val="22"/>
          <w:szCs w:val="22"/>
        </w:rPr>
        <w:t xml:space="preserve">IRB submission for validation study (Month 3)</w:t>
      </w:r>
    </w:p>
    <w:p>
      <w:pPr>
        <w:pStyle w:val="ListParagraph"/>
        <w:numPr>
          <w:ilvl w:val="0"/>
          <w:numId w:val="2"/>
        </w:numPr>
        <w:spacing w:after="80" w:line="276"/>
      </w:pPr>
      <w:r>
        <w:rPr>
          <w:rFonts w:ascii="Arial" w:cs="Arial" w:eastAsia="Arial" w:hAnsi="Arial"/>
          <w:sz w:val="22"/>
          <w:szCs w:val="22"/>
        </w:rPr>
        <w:t xml:space="preserve">Beachhead hospital target list with named champions (Month 3)</w:t>
      </w:r>
    </w:p>
    <w:p>
      <w:pPr>
        <w:spacing w:after="60"/>
      </w:pPr>
    </w:p>
    <w:p>
      <w:pPr>
        <w:pStyle w:val="Heading2"/>
        <w:spacing w:after="150" w:before="300"/>
      </w:pPr>
      <w:r>
        <w:rPr>
          <w:rFonts w:ascii="Arial" w:cs="Arial" w:eastAsia="Arial" w:hAnsi="Arial"/>
        </w:rPr>
        <w:t xml:space="preserve">Lagging Indicators (Months)</w:t>
      </w:r>
    </w:p>
    <w:p>
      <w:pPr>
        <w:pStyle w:val="ListParagraph"/>
        <w:numPr>
          <w:ilvl w:val="0"/>
          <w:numId w:val="2"/>
        </w:numPr>
        <w:spacing w:after="80" w:line="276"/>
      </w:pPr>
      <w:r>
        <w:rPr>
          <w:rFonts w:ascii="Arial" w:cs="Arial" w:eastAsia="Arial" w:hAnsi="Arial"/>
          <w:sz w:val="22"/>
          <w:szCs w:val="22"/>
        </w:rPr>
        <w:t xml:space="preserve">EHR bidirectional integration demo working (Month 6)</w:t>
      </w:r>
    </w:p>
    <w:p>
      <w:pPr>
        <w:pStyle w:val="ListParagraph"/>
        <w:numPr>
          <w:ilvl w:val="0"/>
          <w:numId w:val="2"/>
        </w:numPr>
        <w:spacing w:after="80" w:line="276"/>
      </w:pPr>
      <w:r>
        <w:rPr>
          <w:rFonts w:ascii="Arial" w:cs="Arial" w:eastAsia="Arial" w:hAnsi="Arial"/>
          <w:sz w:val="22"/>
          <w:szCs w:val="22"/>
        </w:rPr>
        <w:t xml:space="preserve">50+ cases enrolled in validation study (Month 8)</w:t>
      </w:r>
    </w:p>
    <w:p>
      <w:pPr>
        <w:pStyle w:val="ListParagraph"/>
        <w:numPr>
          <w:ilvl w:val="0"/>
          <w:numId w:val="2"/>
        </w:numPr>
        <w:spacing w:after="80" w:line="276"/>
      </w:pPr>
      <w:r>
        <w:rPr>
          <w:rFonts w:ascii="Arial" w:cs="Arial" w:eastAsia="Arial" w:hAnsi="Arial"/>
          <w:sz w:val="22"/>
          <w:szCs w:val="22"/>
        </w:rPr>
        <w:t xml:space="preserve">1–2 hospitals live on Cortex platform (Month 9)</w:t>
      </w:r>
    </w:p>
    <w:p>
      <w:pPr>
        <w:pStyle w:val="ListParagraph"/>
        <w:numPr>
          <w:ilvl w:val="0"/>
          <w:numId w:val="2"/>
        </w:numPr>
        <w:spacing w:after="80" w:line="276"/>
      </w:pPr>
      <w:r>
        <w:rPr>
          <w:rFonts w:ascii="Arial" w:cs="Arial" w:eastAsia="Arial" w:hAnsi="Arial"/>
          <w:sz w:val="22"/>
          <w:szCs w:val="22"/>
        </w:rPr>
        <w:t xml:space="preserve">Alert acceptance rate &gt;70% for Critical tier in pilot (Month 10)</w:t>
      </w:r>
    </w:p>
    <w:p>
      <w:pPr>
        <w:pStyle w:val="ListParagraph"/>
        <w:numPr>
          <w:ilvl w:val="0"/>
          <w:numId w:val="2"/>
        </w:numPr>
        <w:spacing w:after="80" w:line="276"/>
      </w:pPr>
      <w:r>
        <w:rPr>
          <w:rFonts w:ascii="Arial" w:cs="Arial" w:eastAsia="Arial" w:hAnsi="Arial"/>
          <w:sz w:val="22"/>
          <w:szCs w:val="22"/>
        </w:rPr>
        <w:t xml:space="preserve">Operadora pilot proposal presented (Month 10)</w:t>
      </w:r>
    </w:p>
    <w:p>
      <w:pPr>
        <w:pStyle w:val="ListParagraph"/>
        <w:numPr>
          <w:ilvl w:val="0"/>
          <w:numId w:val="2"/>
        </w:numPr>
        <w:spacing w:after="80" w:line="276"/>
      </w:pPr>
      <w:r>
        <w:rPr>
          <w:rFonts w:ascii="Arial" w:cs="Arial" w:eastAsia="Arial" w:hAnsi="Arial"/>
          <w:sz w:val="22"/>
          <w:szCs w:val="22"/>
        </w:rPr>
        <w:t xml:space="preserve">Validation manuscript submitted (Month 12)</w:t>
      </w:r>
    </w:p>
    <w:p>
      <w:pPr>
        <w:pStyle w:val="ListParagraph"/>
        <w:numPr>
          <w:ilvl w:val="0"/>
          <w:numId w:val="2"/>
        </w:numPr>
        <w:spacing w:after="80" w:line="276"/>
      </w:pPr>
      <w:r>
        <w:rPr>
          <w:rFonts w:ascii="Arial" w:cs="Arial" w:eastAsia="Arial" w:hAnsi="Arial"/>
          <w:sz w:val="22"/>
          <w:szCs w:val="22"/>
        </w:rPr>
        <w:t xml:space="preserve">ANVISA submission filed (Month 12)</w:t>
      </w:r>
    </w:p>
    <w:p>
      <w:pPr>
        <w:pStyle w:val="ListParagraph"/>
        <w:numPr>
          <w:ilvl w:val="0"/>
          <w:numId w:val="2"/>
        </w:numPr>
        <w:spacing w:after="80" w:line="276"/>
      </w:pPr>
      <w:r>
        <w:rPr>
          <w:rFonts w:ascii="Arial" w:cs="Arial" w:eastAsia="Arial" w:hAnsi="Arial"/>
          <w:sz w:val="22"/>
          <w:szCs w:val="22"/>
        </w:rPr>
        <w:t xml:space="preserve">Series A pitch deck with real pilot data (Month 12)</w:t>
      </w:r>
    </w:p>
    <w:p>
      <w:pPr>
        <w:spacing w:after="60"/>
      </w:pPr>
    </w:p>
    <w:p>
      <w:pPr>
        <w:pStyle w:val="Heading2"/>
        <w:spacing w:after="150" w:before="300"/>
      </w:pPr>
      <w:r>
        <w:rPr>
          <w:rFonts w:ascii="Arial" w:cs="Arial" w:eastAsia="Arial" w:hAnsi="Arial"/>
        </w:rPr>
        <w:t xml:space="preserve">12-Month Success Target</w:t>
      </w:r>
    </w:p>
    <w:p>
      <w:pPr>
        <w:spacing w:after="120" w:line="276"/>
      </w:pPr>
      <w:r>
        <w:rPr>
          <w:rFonts w:ascii="Arial" w:cs="Arial" w:eastAsia="Arial" w:hAnsi="Arial"/>
          <w:color w:val="000000"/>
          <w:sz w:val="22"/>
          <w:szCs w:val="22"/>
        </w:rPr>
        <w:t xml:space="preserve">At Month 12, Cortex Health should have: 1–2 academic hospitals live with measurable outcomes data, an ANVISA submission in review, a peer-reviewed validation manuscript submitted, at least one operadora in active pilot negotiation, and a Series A pitch supported by real clinical and financial data. If all five conditions are met, Cortex has crossed from “promising MVP” to “clinically validated, regulatory-tracked, revenue-generating platform.”</w:t>
      </w:r>
    </w:p>
    <w:p>
      <w:r>
        <w:br w:type="page"/>
      </w:r>
    </w:p>
    <w:p>
      <w:pPr>
        <w:pStyle w:val="Heading1"/>
        <w:spacing w:after="150" w:before="300"/>
      </w:pPr>
      <w:r>
        <w:rPr>
          <w:rFonts w:ascii="Arial" w:cs="Arial" w:eastAsia="Arial" w:hAnsi="Arial"/>
        </w:rPr>
        <w:t xml:space="preserve">MBA Knowledge Sources</w:t>
      </w:r>
    </w:p>
    <w:p>
      <w:pPr>
        <w:spacing w:after="120" w:line="276"/>
      </w:pPr>
      <w:r>
        <w:rPr>
          <w:rFonts w:ascii="Arial" w:cs="Arial" w:eastAsia="Arial" w:hAnsi="Arial"/>
          <w:color w:val="000000"/>
          <w:sz w:val="22"/>
          <w:szCs w:val="22"/>
        </w:rPr>
        <w:t xml:space="preserve">This proposal synthesizes insights from 20 Tier 2 knowledge documents totaling 24,000+ lines, built from JHU Carey Business School MBA coursework (2023–2026). Key source documents by initiative:</w:t>
      </w:r>
    </w:p>
    <w:p>
      <w:pPr>
        <w:spacing w:after="6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c>
          <w:tcPr>
            <w:tcW w:type="dxa" w:w="321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Initiative</w:t>
            </w:r>
          </w:p>
        </w:tc>
        <w:tc>
          <w:tcPr>
            <w:tcW w:type="dxa" w:w="321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Primary MBA Sources</w:t>
            </w:r>
          </w:p>
        </w:tc>
        <w:tc>
          <w:tcPr>
            <w:tcW w:type="dxa" w:w="321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Boardroom Agents</w:t>
            </w:r>
          </w:p>
        </w:tc>
      </w:tr>
      <w:tr>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ANVISA Pathway</w:t>
            </w:r>
          </w:p>
        </w:tc>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Health Care Law (2,187 lines), Medical Devices (1,100+ lines), AI Essentials (886 lines)</w:t>
            </w:r>
          </w:p>
        </w:tc>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RUTH, ARCHIE, ELENA</w:t>
            </w:r>
          </w:p>
        </w:tc>
      </w:tr>
      <w:tr>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EHR Integration</w:t>
            </w:r>
          </w:p>
        </w:tc>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HIT (915 lines), Digital Transformation (1,574 lines)</w:t>
            </w:r>
          </w:p>
        </w:tc>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ARCHIE</w:t>
            </w:r>
          </w:p>
        </w:tc>
      </w:tr>
      <w:tr>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Clinical Validation</w:t>
            </w:r>
          </w:p>
        </w:tc>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Business Analytics (1,396 lines), HIT (915 lines), New Product Development (1,213 lines)</w:t>
            </w:r>
          </w:p>
        </w:tc>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ELENA, ARCHIE</w:t>
            </w:r>
          </w:p>
        </w:tc>
      </w:tr>
      <w:tr>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Pricing Model</w:t>
            </w:r>
          </w:p>
        </w:tc>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Health Financing (862 lines), Business Microeconomics (1,278 lines), Corporate Finance (1,422 lines)</w:t>
            </w:r>
          </w:p>
        </w:tc>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GORDON</w:t>
            </w:r>
          </w:p>
        </w:tc>
      </w:tr>
      <w:tr>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Beachhead Strategy</w:t>
            </w:r>
          </w:p>
        </w:tc>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New Product Development (1,213 lines), Marketing (1,263 lines), Strategic Management (1,506 lines)</w:t>
            </w:r>
          </w:p>
        </w:tc>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VICTOR, PAUL</w:t>
            </w:r>
          </w:p>
        </w:tc>
      </w:tr>
      <w:tr>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Negotiation &amp; GTM</w:t>
            </w:r>
          </w:p>
        </w:tc>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Negotiation (1,369 lines), Marketing (1,263 lines), Frameworks for Health Care Markets (1,146 lines)</w:t>
            </w:r>
          </w:p>
        </w:tc>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VICTOR, GORDON</w:t>
            </w:r>
          </w:p>
        </w:tc>
      </w:tr>
      <w:tr>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Competitive Moat</w:t>
            </w:r>
          </w:p>
        </w:tc>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Digital Transformation (1,574 lines), Strategic Management (1,506 lines)</w:t>
            </w:r>
          </w:p>
        </w:tc>
        <w:tc>
          <w:tcPr>
            <w:tcW w:type="dxa" w:w="321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ARCHIE, VICTOR</w:t>
            </w:r>
          </w:p>
        </w:tc>
      </w:tr>
      <w:tr>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Team &amp; Org Design</w:t>
            </w:r>
          </w:p>
        </w:tc>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Leadership &amp; OB (800+ lines), Managing Complex Projects (1,382 lines)</w:t>
            </w:r>
          </w:p>
        </w:tc>
        <w:tc>
          <w:tcPr>
            <w:tcW w:type="dxa" w:w="321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ARCHIE</w:t>
            </w:r>
          </w:p>
        </w:tc>
      </w:tr>
    </w:tbl>
    <w:p>
      <w:pPr>
        <w:spacing w:after="60"/>
      </w:pPr>
    </w:p>
    <w:p>
      <w:pPr>
        <w:spacing w:after="60"/>
      </w:pPr>
    </w:p>
    <w:p>
      <w:pPr>
        <w:pBdr>
          <w:top w:val="single" w:color="1B4F72" w:sz="4" w:space="12"/>
        </w:pBdr>
        <w:spacing w:after="200" w:before="300"/>
        <w:jc w:val="center"/>
      </w:pPr>
      <w:r>
        <w:rPr>
          <w:rFonts w:ascii="Arial" w:cs="Arial" w:eastAsia="Arial" w:hAnsi="Arial"/>
          <w:b/>
          <w:bCs/>
          <w:color w:val="5D6D7E"/>
          <w:sz w:val="20"/>
          <w:szCs w:val="20"/>
        </w:rPr>
        <w:t xml:space="preserve">END OF PROPOSAL</w:t>
      </w:r>
    </w:p>
    <w:p>
      <w:pPr>
        <w:spacing w:after="60"/>
        <w:jc w:val="center"/>
      </w:pPr>
      <w:r>
        <w:rPr>
          <w:rFonts w:ascii="Arial" w:cs="Arial" w:eastAsia="Arial" w:hAnsi="Arial"/>
          <w:color w:val="5D6D7E"/>
          <w:sz w:val="18"/>
          <w:szCs w:val="18"/>
        </w:rPr>
        <w:t xml:space="preserve">Status: PROPOSED  |  Pending Founder Review  |  March 17, 2026</w:t>
      </w:r>
    </w:p>
    <w:p>
      <w:pPr>
        <w:spacing w:after="60"/>
        <w:jc w:val="center"/>
      </w:pPr>
      <w:r>
        <w:rPr>
          <w:rFonts w:ascii="Arial" w:cs="Arial" w:eastAsia="Arial" w:hAnsi="Arial"/>
          <w:i/>
          <w:iCs/>
          <w:color w:val="5D6D7E"/>
          <w:sz w:val="18"/>
          <w:szCs w:val="18"/>
        </w:rPr>
        <w:t xml:space="preserve">Next Step: Nico reviews, resolves open questions, approves Phase 1 launch</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spacing w:after="0"/>
    </w:pPr>
    <w:r>
      <w:rPr>
        <w:rFonts w:ascii="Arial" w:cs="Arial" w:eastAsia="Arial" w:hAnsi="Arial"/>
        <w:b/>
        <w:bCs/>
        <w:color w:val="1B4F72"/>
        <w:sz w:val="16"/>
        <w:szCs w:val="16"/>
      </w:rPr>
      <w:t xml:space="preserve">CORTEX HEALTH  </w:t>
    </w:r>
    <w:r>
      <w:rPr>
        <w:rFonts w:ascii="Arial" w:cs="Arial" w:eastAsia="Arial" w:hAnsi="Arial"/>
        <w:color w:val="5D6D7E"/>
        <w:sz w:val="16"/>
        <w:szCs w:val="16"/>
      </w:rPr>
      <w:t xml:space="preserve">|  MBA Strategy Implementation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2026-03-18T00:03:21.335Z</dcterms:created>
  <dcterms:modified xsi:type="dcterms:W3CDTF">2026-03-18T00:03:21.335Z</dcterms:modified>
</cp:coreProperties>
</file>

<file path=docProps/custom.xml><?xml version="1.0" encoding="utf-8"?>
<Properties xmlns="http://schemas.openxmlformats.org/officeDocument/2006/custom-properties" xmlns:vt="http://schemas.openxmlformats.org/officeDocument/2006/docPropsVTypes"/>
</file>