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DEEP RESEARCH REPORT</w:t>
      </w:r>
    </w:p>
    <w:p>
      <w:pPr>
        <w:spacing w:after="120"/>
        <w:jc w:val="center"/>
      </w:pPr>
      <w:r>
        <w:rPr>
          <w:rFonts w:ascii="Arial" w:cs="Arial" w:eastAsia="Arial" w:hAnsi="Arial"/>
          <w:b/>
          <w:bCs/>
          <w:color w:val="2C3E50"/>
          <w:sz w:val="36"/>
          <w:szCs w:val="36"/>
        </w:rPr>
        <w:t xml:space="preserve">Health 3.0 Data Architectures for</w:t>
      </w:r>
    </w:p>
    <w:p>
      <w:pPr>
        <w:spacing w:after="400"/>
        <w:jc w:val="center"/>
      </w:pPr>
      <w:r>
        <w:rPr>
          <w:rFonts w:ascii="Arial" w:cs="Arial" w:eastAsia="Arial" w:hAnsi="Arial"/>
          <w:b/>
          <w:bCs/>
          <w:color w:val="2C3E50"/>
          <w:sz w:val="36"/>
          <w:szCs w:val="36"/>
        </w:rPr>
        <w:t xml:space="preserve">Hospitals &amp; Clinical Systems</w:t>
      </w:r>
    </w:p>
    <w:p>
      <w:pPr>
        <w:spacing w:after="100"/>
        <w:jc w:val="center"/>
      </w:pPr>
      <w:r>
        <w:rPr>
          <w:rFonts w:ascii="Arial" w:cs="Arial" w:eastAsia="Arial" w:hAnsi="Arial"/>
          <w:i/>
          <w:iCs/>
          <w:color w:val="7F8C8D"/>
          <w:sz w:val="24"/>
          <w:szCs w:val="24"/>
        </w:rPr>
        <w:t xml:space="preserve">Open-Source Models | Peer-Reviewed Studies | Startup Outcomes</w:t>
      </w:r>
    </w:p>
    <w:p>
      <w:pPr>
        <w:spacing w:after="100"/>
        <w:jc w:val="center"/>
      </w:pPr>
      <w:r>
        <w:rPr>
          <w:rFonts w:ascii="Arial" w:cs="Arial" w:eastAsia="Arial" w:hAnsi="Arial"/>
          <w:i/>
          <w:iCs/>
          <w:color w:val="7F8C8D"/>
          <w:sz w:val="24"/>
          <w:szCs w:val="24"/>
        </w:rPr>
        <w:t xml:space="preserve">Data Architectures | Interoperability Standards | Regulatory Landscape</w:t>
      </w:r>
    </w:p>
    <w:p>
      <w:pPr>
        <w:spacing w:before="600"/>
        <w:jc w:val="center"/>
      </w:pPr>
      <w:r>
        <w:rPr>
          <w:rFonts w:ascii="Arial" w:cs="Arial" w:eastAsia="Arial" w:hAnsi="Arial"/>
          <w:color w:val="1B4F72"/>
          <w:sz w:val="24"/>
          <w:szCs w:val="24"/>
        </w:rPr>
        <w:t xml:space="preserve">Prepared for: Holi Labs</w:t>
      </w:r>
    </w:p>
    <w:p>
      <w:pPr>
        <w:jc w:val="center"/>
      </w:pPr>
      <w:r>
        <w:rPr>
          <w:rFonts w:ascii="Arial" w:cs="Arial" w:eastAsia="Arial" w:hAnsi="Arial"/>
          <w:color w:val="7F8C8D"/>
          <w:sz w:val="22"/>
          <w:szCs w:val="22"/>
        </w:rPr>
        <w:t xml:space="preserve">Date: March 18, 2026</w:t>
      </w:r>
    </w:p>
    <w:p>
      <w:pPr>
        <w:spacing w:after="200"/>
        <w:jc w:val="center"/>
      </w:pPr>
      <w:r>
        <w:rPr>
          <w:rFonts w:ascii="Arial" w:cs="Arial" w:eastAsia="Arial" w:hAnsi="Arial"/>
          <w:color w:val="7F8C8D"/>
          <w:sz w:val="22"/>
          <w:szCs w:val="22"/>
        </w:rPr>
        <w:t xml:space="preserve">Research Period: 2023-2026 (Priority: Last 2-3 Years)</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deep research report synthesizes findings from peer-reviewed journals (JMIR, JAMIA, Nature Medicine, Lancet Digital Health, NEJM AI), industry analyses (McKinsey, World Economic Forum), and startup outcomes to identify the optimal data architectures for building Health 3.0 systems within hospitals and clinics. The research spans 2023-2026, with priority given to the most recent two to three years of evidence.</w:t>
      </w:r>
    </w:p>
    <w:p>
      <w:pPr>
        <w:spacing w:after="120"/>
      </w:pPr>
      <w:r>
        <w:rPr>
          <w:rFonts w:ascii="Arial" w:cs="Arial" w:eastAsia="Arial" w:hAnsi="Arial"/>
          <w:sz w:val="22"/>
          <w:szCs w:val="22"/>
        </w:rPr>
        <w:t xml:space="preserve">Health 3.0 represents the convergence of artificial intelligence, real-time clinical data infrastructure, interoperability standards, and patient-centered care delivery. The transition from legacy Health IT systems to Health 3.0 architectures requires fundamental rethinking of how clinical data is ingested, governed, analyzed, and acted upon.</w:t>
      </w:r>
    </w:p>
    <w:p>
      <w:pPr>
        <w:spacing w:after="120"/>
      </w:pPr>
      <w:r>
        <w:rPr>
          <w:rFonts w:ascii="Arial" w:cs="Arial" w:eastAsia="Arial" w:hAnsi="Arial"/>
          <w:b/>
          <w:bCs/>
          <w:sz w:val="22"/>
          <w:szCs w:val="22"/>
        </w:rPr>
        <w:t xml:space="preserve">Key Findings:</w:t>
      </w:r>
    </w:p>
    <w:p>
      <w:pPr>
        <w:pStyle w:val="ListParagraph"/>
        <w:numPr>
          <w:ilvl w:val="0"/>
          <w:numId w:val="2"/>
        </w:numPr>
        <w:spacing w:after="60"/>
      </w:pPr>
      <w:r>
        <w:rPr>
          <w:rFonts w:ascii="Arial" w:cs="Arial" w:eastAsia="Arial" w:hAnsi="Arial"/>
          <w:sz w:val="21"/>
          <w:szCs w:val="21"/>
        </w:rPr>
        <w:t xml:space="preserve">Data Lakehouses (Delta Lake/Apache Iceberg) are emerging as the optimal hybrid architecture, reducing storage costs 50-70% while maintaining governance and ACID compliance.</w:t>
      </w:r>
    </w:p>
    <w:p>
      <w:pPr>
        <w:pStyle w:val="ListParagraph"/>
        <w:numPr>
          <w:ilvl w:val="0"/>
          <w:numId w:val="2"/>
        </w:numPr>
        <w:spacing w:after="60"/>
      </w:pPr>
      <w:r>
        <w:rPr>
          <w:rFonts w:ascii="Arial" w:cs="Arial" w:eastAsia="Arial" w:hAnsi="Arial"/>
          <w:sz w:val="21"/>
          <w:szCs w:val="21"/>
        </w:rPr>
        <w:t xml:space="preserve">A 5-layer architecture (Infrastructure, Data, Algorithm, Application, Security/Compliance) provides the most comprehensive framework for hospital AI platforms, validated by JMIR systematic review (2025).</w:t>
      </w:r>
    </w:p>
    <w:p>
      <w:pPr>
        <w:pStyle w:val="ListParagraph"/>
        <w:numPr>
          <w:ilvl w:val="0"/>
          <w:numId w:val="2"/>
        </w:numPr>
        <w:spacing w:after="60"/>
      </w:pPr>
      <w:r>
        <w:rPr>
          <w:rFonts w:ascii="Arial" w:cs="Arial" w:eastAsia="Arial" w:hAnsi="Arial"/>
          <w:sz w:val="21"/>
          <w:szCs w:val="21"/>
        </w:rPr>
        <w:t xml:space="preserve">FHIR R4 adoption has reached 71% globally (2025), with OMOP CDM integration enabling dual clinical-care and research analytics pipelines.</w:t>
      </w:r>
    </w:p>
    <w:p>
      <w:pPr>
        <w:pStyle w:val="ListParagraph"/>
        <w:numPr>
          <w:ilvl w:val="0"/>
          <w:numId w:val="2"/>
        </w:numPr>
        <w:spacing w:after="60"/>
      </w:pPr>
      <w:r>
        <w:rPr>
          <w:rFonts w:ascii="Arial" w:cs="Arial" w:eastAsia="Arial" w:hAnsi="Arial"/>
          <w:sz w:val="21"/>
          <w:szCs w:val="21"/>
        </w:rPr>
        <w:t xml:space="preserve">Federated learning is the privacy-preserving paradigm for multi-hospital collaboration, with NVIDIA FLARE leading production deployments.</w:t>
      </w:r>
    </w:p>
    <w:p>
      <w:pPr>
        <w:pStyle w:val="ListParagraph"/>
        <w:numPr>
          <w:ilvl w:val="0"/>
          <w:numId w:val="2"/>
        </w:numPr>
        <w:spacing w:after="60"/>
      </w:pPr>
      <w:r>
        <w:rPr>
          <w:rFonts w:ascii="Arial" w:cs="Arial" w:eastAsia="Arial" w:hAnsi="Arial"/>
          <w:sz w:val="21"/>
          <w:szCs w:val="21"/>
        </w:rPr>
        <w:t xml:space="preserve">Ambient AI documentation is the only healthcare AI category with 100% adoption activity across US health systems, with startups like Abridge ($550M+), Ambience ($243M), and Nabla ($120M) demonstrating clinical outcomes.</w:t>
      </w:r>
    </w:p>
    <w:p>
      <w:pPr>
        <w:pStyle w:val="ListParagraph"/>
        <w:numPr>
          <w:ilvl w:val="0"/>
          <w:numId w:val="2"/>
        </w:numPr>
        <w:spacing w:after="60"/>
      </w:pPr>
      <w:r>
        <w:rPr>
          <w:rFonts w:ascii="Arial" w:cs="Arial" w:eastAsia="Arial" w:hAnsi="Arial"/>
          <w:sz w:val="21"/>
          <w:szCs w:val="21"/>
        </w:rPr>
        <w:t xml:space="preserve">Failed ventures (Olive AI, Babylon Health, Carbon Health) reveal that breadth without depth, poor unit economics, and capital-intensive physical models are primary failure modes.</w:t>
      </w:r>
    </w:p>
    <w:p>
      <w:r>
        <w:br w:type="page"/>
      </w:r>
    </w:p>
    <w:p>
      <w:pPr>
        <w:pStyle w:val="Heading1"/>
        <w:spacing w:after="200" w:before="360"/>
      </w:pPr>
      <w:r>
        <w:rPr>
          <w:rFonts w:ascii="Arial" w:cs="Arial" w:eastAsia="Arial" w:hAnsi="Arial"/>
          <w:b/>
          <w:bCs/>
          <w:color w:val="1B4F72"/>
          <w:sz w:val="32"/>
          <w:szCs w:val="32"/>
        </w:rPr>
        <w:t xml:space="preserve">2. Optimal Data Architectures for Health 3.0</w:t>
      </w:r>
    </w:p>
    <w:p>
      <w:pPr>
        <w:pStyle w:val="Heading2"/>
        <w:spacing w:after="160" w:before="280"/>
      </w:pPr>
      <w:r>
        <w:rPr>
          <w:rFonts w:ascii="Arial" w:cs="Arial" w:eastAsia="Arial" w:hAnsi="Arial"/>
          <w:b/>
          <w:bCs/>
          <w:color w:val="2E86C1"/>
          <w:sz w:val="28"/>
          <w:szCs w:val="28"/>
        </w:rPr>
        <w:t xml:space="preserve">2.1 Data Lakehouse Architecture</w:t>
      </w:r>
    </w:p>
    <w:p>
      <w:pPr>
        <w:spacing w:after="120"/>
      </w:pPr>
      <w:r>
        <w:rPr>
          <w:rFonts w:ascii="Arial" w:cs="Arial" w:eastAsia="Arial" w:hAnsi="Arial"/>
          <w:sz w:val="22"/>
          <w:szCs w:val="22"/>
        </w:rPr>
        <w:t xml:space="preserve">A landmark peer-reviewed study published in JMIR (2025) by Gebler et al. directly compared clinical data warehouses, data lakes, and data lakehouses using FAIR principles (Findable, Accessible, Interoperable, Reusable) and Big Data 5 V's (Volume, Variety, Velocity, Veracity, Value). The study concluded that data lakehouses offer the best balance of governance, scalability, and flexibility for clinical AI.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96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Governance</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Scalability</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Real-Time</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Flexibility</w:t>
            </w:r>
          </w:p>
        </w:tc>
        <w:tc>
          <w:tcPr>
            <w:tcW w:type="dxa" w:w="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Data Warehouse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Limited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Weak</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Data Lake</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Weak</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Excellent</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Moderate</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High</w:t>
            </w:r>
          </w:p>
        </w:tc>
        <w:tc>
          <w:tcPr>
            <w:tcW w:type="dxa" w:w="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Data Lakehouse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Strong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Moderate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Technologies:</w:t>
      </w:r>
    </w:p>
    <w:p>
      <w:pPr>
        <w:pStyle w:val="ListParagraph"/>
        <w:numPr>
          <w:ilvl w:val="0"/>
          <w:numId w:val="2"/>
        </w:numPr>
        <w:spacing w:after="60"/>
      </w:pPr>
      <w:r>
        <w:rPr>
          <w:rFonts w:ascii="Arial" w:cs="Arial" w:eastAsia="Arial" w:hAnsi="Arial"/>
          <w:sz w:val="21"/>
          <w:szCs w:val="21"/>
        </w:rPr>
        <w:t xml:space="preserve">Delta Lake: Built on Parquet format; excels at ACID transactions and time travel; strong production community. Used by Microsoft Fabric Healthcare Data Solutions for OMOP CDM v5.4 implementation.</w:t>
      </w:r>
    </w:p>
    <w:p>
      <w:pPr>
        <w:pStyle w:val="ListParagraph"/>
        <w:numPr>
          <w:ilvl w:val="0"/>
          <w:numId w:val="2"/>
        </w:numPr>
        <w:spacing w:after="60"/>
      </w:pPr>
      <w:r>
        <w:rPr>
          <w:rFonts w:ascii="Arial" w:cs="Arial" w:eastAsia="Arial" w:hAnsi="Arial"/>
          <w:sz w:val="21"/>
          <w:szCs w:val="21"/>
        </w:rPr>
        <w:t xml:space="preserve">Apache Iceberg: Format-agnostic with partition evolution; ideal for evolving healthcare schemas. AWS HealthLake converts FHIR data to Iceberg format automatically.</w:t>
      </w:r>
    </w:p>
    <w:p>
      <w:pPr>
        <w:pStyle w:val="ListParagraph"/>
        <w:numPr>
          <w:ilvl w:val="0"/>
          <w:numId w:val="2"/>
        </w:numPr>
        <w:spacing w:after="60"/>
      </w:pPr>
      <w:r>
        <w:rPr>
          <w:rFonts w:ascii="Arial" w:cs="Arial" w:eastAsia="Arial" w:hAnsi="Arial"/>
          <w:sz w:val="21"/>
          <w:szCs w:val="21"/>
        </w:rPr>
        <w:t xml:space="preserve">Apache Hudi: Incremental processing with inline compaction; suited for near-real-time clinical data ingestion pipelines.</w:t>
      </w:r>
    </w:p>
    <w:p>
      <w:pPr>
        <w:pStyle w:val="Heading2"/>
        <w:spacing w:after="160" w:before="280"/>
      </w:pPr>
      <w:r>
        <w:rPr>
          <w:rFonts w:ascii="Arial" w:cs="Arial" w:eastAsia="Arial" w:hAnsi="Arial"/>
          <w:b/>
          <w:bCs/>
          <w:color w:val="2E86C1"/>
          <w:sz w:val="28"/>
          <w:szCs w:val="28"/>
        </w:rPr>
        <w:t xml:space="preserve">2.2 Five-Layer Hospital AI Architecture</w:t>
      </w:r>
    </w:p>
    <w:p>
      <w:pPr>
        <w:spacing w:after="120"/>
      </w:pPr>
      <w:r>
        <w:rPr>
          <w:rFonts w:ascii="Arial" w:cs="Arial" w:eastAsia="Arial" w:hAnsi="Arial"/>
          <w:sz w:val="22"/>
          <w:szCs w:val="22"/>
        </w:rPr>
        <w:t xml:space="preserve">A JMIR systematic review (2025, DOI: e79788) proposed a 5-layer architecture framework validated across multiple hospital-based AI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4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Technologies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 Infrastructure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Compute, storage, networking</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Cloud (AWS/Azure/GCP), on-prem hybrid, GPU clusters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2. Data</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Ingestion, normalization, governance</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FHIR, OMOP CDM, Delta Lake, Kafka, data catalog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3. Algorithm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ML/AI model training and serving</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Foundation models, federated learning, MLOps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4. Application</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Clinical workflows and interfaces</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CDS, ambient AI, EHR integration, dashboards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 Security &amp; Compliance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RBAC, encryption, audit</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Zero-trust, HIPAA/LGPD, consent management</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2.3 Data Mesh vs. Data Fabric for Multi-Hospital Systems</w:t>
      </w:r>
    </w:p>
    <w:p>
      <w:pPr>
        <w:spacing w:after="120"/>
      </w:pPr>
      <w:r>
        <w:rPr>
          <w:rFonts w:ascii="Arial" w:cs="Arial" w:eastAsia="Arial" w:hAnsi="Arial"/>
          <w:sz w:val="22"/>
          <w:szCs w:val="22"/>
        </w:rPr>
        <w:t xml:space="preserve">For multi-hospital networks, the emerging consensus favors a hybrid approach: Data Fabric as the governance and metadata backbone, with Data Mesh domain ownership layered on top. Measured outcomes from implementations include 30% reduction in duplicate testing, 25% faster clinical decisions, 15% reduction in adverse events, and 40% improvement in research speed.</w:t>
      </w:r>
    </w:p>
    <w:p>
      <w:pPr>
        <w:spacing w:after="120"/>
      </w:pPr>
      <w:r>
        <w:rPr>
          <w:rFonts w:ascii="Arial" w:cs="Arial" w:eastAsia="Arial" w:hAnsi="Arial"/>
          <w:sz w:val="22"/>
          <w:szCs w:val="22"/>
        </w:rPr>
        <w:t xml:space="preserve">Data Fabric is preferred in HIPAA-regulated environments (55% vs 35% confidence gap) due to centralized governance enabling consistent automated enforcement of access controls and audit trails.</w:t>
      </w:r>
    </w:p>
    <w:p>
      <w:pPr>
        <w:pStyle w:val="Heading2"/>
        <w:spacing w:after="160" w:before="280"/>
      </w:pPr>
      <w:r>
        <w:rPr>
          <w:rFonts w:ascii="Arial" w:cs="Arial" w:eastAsia="Arial" w:hAnsi="Arial"/>
          <w:b/>
          <w:bCs/>
          <w:color w:val="2E86C1"/>
          <w:sz w:val="28"/>
          <w:szCs w:val="28"/>
        </w:rPr>
        <w:t xml:space="preserve">2.4 Knowledge Graphs &amp; Vector Databases</w:t>
      </w:r>
    </w:p>
    <w:p>
      <w:pPr>
        <w:spacing w:after="120"/>
      </w:pPr>
      <w:r>
        <w:rPr>
          <w:rFonts w:ascii="Arial" w:cs="Arial" w:eastAsia="Arial" w:hAnsi="Arial"/>
          <w:sz w:val="22"/>
          <w:szCs w:val="22"/>
        </w:rPr>
        <w:t xml:space="preserve">The World Economic Forum (2026) identified knowledge graphs and vectorization as key enablers for Health 3.0. A hybrid pattern combining Neo4j (clinical ontology relationships) with vector databases like Pinecone or Weaviate (semantic search across clinical notes) is emerging as standard practice.</w:t>
      </w:r>
    </w:p>
    <w:p>
      <w:pPr>
        <w:spacing w:after="120"/>
      </w:pPr>
      <w:r>
        <w:rPr>
          <w:rFonts w:ascii="Arial" w:cs="Arial" w:eastAsia="Arial" w:hAnsi="Arial"/>
          <w:b/>
          <w:bCs/>
          <w:sz w:val="22"/>
          <w:szCs w:val="22"/>
        </w:rPr>
        <w:t xml:space="preserve">Performance benchmarks: </w:t>
      </w:r>
      <w:r>
        <w:rPr>
          <w:rFonts w:ascii="Arial" w:cs="Arial" w:eastAsia="Arial" w:hAnsi="Arial"/>
          <w:sz w:val="22"/>
          <w:szCs w:val="22"/>
        </w:rPr>
        <w:t xml:space="preserve">Neo4j-based clinical frameworks show 5.4x to 48.4x faster query execution versus traditional relational databases for drug interaction networks, biomarker ontologies, and care pathway mining.</w:t>
      </w:r>
    </w:p>
    <w:p>
      <w:pPr>
        <w:pStyle w:val="Heading2"/>
        <w:spacing w:after="160" w:before="280"/>
      </w:pPr>
      <w:r>
        <w:rPr>
          <w:rFonts w:ascii="Arial" w:cs="Arial" w:eastAsia="Arial" w:hAnsi="Arial"/>
          <w:b/>
          <w:bCs/>
          <w:color w:val="2E86C1"/>
          <w:sz w:val="28"/>
          <w:szCs w:val="28"/>
        </w:rPr>
        <w:t xml:space="preserve">2.5 Real-Time Streaming Architecture</w:t>
      </w:r>
    </w:p>
    <w:p>
      <w:pPr>
        <w:spacing w:after="120"/>
      </w:pPr>
      <w:r>
        <w:rPr>
          <w:rFonts w:ascii="Arial" w:cs="Arial" w:eastAsia="Arial" w:hAnsi="Arial"/>
          <w:sz w:val="22"/>
          <w:szCs w:val="22"/>
        </w:rPr>
        <w:t xml:space="preserve">Kafka + Flink architectures for real-time patient monitoring are proven in production. Cerner's sepsis alerting system using Kafka-powered streaming demonstrated patients were 71% more likely to receive timely antibiotics. Cleveland Clinic's AI-driven sepsis detection achieved a 10-fold reduction in false positives, 46% increase in identified sepsis cases, and 7x increase in alerts issued before antibiotic administration.</w:t>
      </w:r>
    </w:p>
    <w:p>
      <w:pPr>
        <w:pStyle w:val="Heading2"/>
        <w:spacing w:after="160" w:before="280"/>
      </w:pPr>
      <w:r>
        <w:rPr>
          <w:rFonts w:ascii="Arial" w:cs="Arial" w:eastAsia="Arial" w:hAnsi="Arial"/>
          <w:b/>
          <w:bCs/>
          <w:color w:val="2E86C1"/>
          <w:sz w:val="28"/>
          <w:szCs w:val="28"/>
        </w:rPr>
        <w:t xml:space="preserve">2.6 Federated Learning Architecture</w:t>
      </w:r>
    </w:p>
    <w:p>
      <w:pPr>
        <w:spacing w:after="120"/>
      </w:pPr>
      <w:r>
        <w:rPr>
          <w:rFonts w:ascii="Arial" w:cs="Arial" w:eastAsia="Arial" w:hAnsi="Arial"/>
          <w:sz w:val="22"/>
          <w:szCs w:val="22"/>
        </w:rPr>
        <w:t xml:space="preserve">Federated learning enables multi-hospital AI collaboration without centralizing patient data. NVIDIA FLARE leads production deployments with version 2.5.0 (September 2024). The federated learning in healthcare market was valued at USD 28.83M in 2024 with projected 16% CAGR through 2030.</w:t>
      </w:r>
    </w:p>
    <w:p>
      <w:pPr>
        <w:spacing w:after="120"/>
      </w:pPr>
      <w:r>
        <w:rPr>
          <w:rFonts w:ascii="Arial" w:cs="Arial" w:eastAsia="Arial" w:hAnsi="Arial"/>
          <w:b/>
          <w:bCs/>
          <w:sz w:val="22"/>
          <w:szCs w:val="22"/>
        </w:rPr>
        <w:t xml:space="preserve">Key frameworks: </w:t>
      </w:r>
      <w:r>
        <w:rPr>
          <w:rFonts w:ascii="Arial" w:cs="Arial" w:eastAsia="Arial" w:hAnsi="Arial"/>
          <w:sz w:val="22"/>
          <w:szCs w:val="22"/>
        </w:rPr>
        <w:t xml:space="preserve">NVIDIA FLARE (production-ready), PySyft (strongest privacy via differential privacy), Flower (lightweight Python-first), OpenFL, FedBioMed, TensorFlow Federated.</w:t>
      </w:r>
    </w:p>
    <w:p>
      <w:pPr>
        <w:pStyle w:val="Heading2"/>
        <w:spacing w:after="160" w:before="280"/>
      </w:pPr>
      <w:r>
        <w:rPr>
          <w:rFonts w:ascii="Arial" w:cs="Arial" w:eastAsia="Arial" w:hAnsi="Arial"/>
          <w:b/>
          <w:bCs/>
          <w:color w:val="2E86C1"/>
          <w:sz w:val="28"/>
          <w:szCs w:val="28"/>
        </w:rPr>
        <w:t xml:space="preserve">2.7 Recommended Composite Architecture</w:t>
      </w:r>
    </w:p>
    <w:p>
      <w:pPr>
        <w:spacing w:after="120"/>
      </w:pPr>
      <w:r>
        <w:rPr>
          <w:rFonts w:ascii="Arial" w:cs="Arial" w:eastAsia="Arial" w:hAnsi="Arial"/>
          <w:sz w:val="22"/>
          <w:szCs w:val="22"/>
        </w:rPr>
        <w:t xml:space="preserve">Based on synthesis of all evidence, the recommended Health 3.0 architecture stack for hospitals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Recommended Stack</w:t>
            </w:r>
          </w:p>
        </w:tc>
        <w:tc>
          <w:tcPr>
            <w:tcW w:type="dxa" w:w="3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Data Platform</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Delta Lake or Apache Iceberg on cloud (FHIR-compliant)</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FAIR principles, ACID, cost-effective</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Integration</w:t>
            </w:r>
          </w:p>
        </w:tc>
        <w:tc>
          <w:tcPr>
            <w:tcW w:type="dxa" w:w="3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Data Fabric + Mesh hybrid</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Fabric = governance; Mesh = domain ownership</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Knowledge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Neo4j + Weaviate</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Ontology relationships + semantic vector search</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Real-Time</w:t>
            </w:r>
          </w:p>
        </w:tc>
        <w:tc>
          <w:tcPr>
            <w:tcW w:type="dxa" w:w="3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Kafka + Flink</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Proven sepsis/deterioration alerting in production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ML/AI</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Federated Learning (NVIDIA FLARE)</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Privacy-preserving multi-hospital collaboration</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Cloud</w:t>
            </w:r>
          </w:p>
        </w:tc>
        <w:tc>
          <w:tcPr>
            <w:tcW w:type="dxa" w:w="3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AWS HealthLake or Azure Health Data Services</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Native FHIR normalization at scale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Compliance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HIPAA + LGPD + TEFCA + Zero-Trust</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Regulatory coverage across jurisdictions</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3. Open-Source AI Models for Health 3.0</w:t>
      </w:r>
    </w:p>
    <w:p>
      <w:pPr>
        <w:pStyle w:val="Heading2"/>
        <w:spacing w:after="160" w:before="280"/>
      </w:pPr>
      <w:r>
        <w:rPr>
          <w:rFonts w:ascii="Arial" w:cs="Arial" w:eastAsia="Arial" w:hAnsi="Arial"/>
          <w:b/>
          <w:bCs/>
          <w:color w:val="2E86C1"/>
          <w:sz w:val="28"/>
          <w:szCs w:val="28"/>
        </w:rPr>
        <w:t xml:space="preserve">3.1 Clinical NLP/LLM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Capability</w:t>
            </w:r>
          </w:p>
        </w:tc>
        <w:tc>
          <w:tcPr>
            <w:tcW w:type="dxa" w:w="27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Publication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MedGemma / Med-PaLM 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Transformer (PaLM family)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Medical QA, 91% MedQA benchmark</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Nature Medicine 2024</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BioMistral-7B</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Mistral-based transformer</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Biomedical text, 8 languages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arXiv:2402.10373</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Meditron-7B/70B</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LLaMA 2 base (EPFL/Yale)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Medical reasoning, outperforms GPT-3.5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npj Digital Medicine 2024</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Clinical ModernBERT</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ModernBERT (Flash Attention)</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8K token clinical narratives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arXiv 2025</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GatorTron/GatorTronGPT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8.9B-20B params transformer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82B+ words clinical text NLP</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medRxiv 2022/refined 2024</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OpenBioLLM-70B/8B</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LLaMA-3 base</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86% avg on 9 biomedical benchmarks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Nature Digital Med 2024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BioMedLM (2.7B)</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Stanford GPT-style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Edge deployment, 57.3% MedMCQA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arXiv:2403.18421</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MedAlpaca</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LLaMA-7B/13B instruct-tuned</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160K medical instruction dataset</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arXiv:2304.08247</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AlpaCare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LLaMA/LLaMA-2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+12% correctness, +49% helpfulness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arXiv:2310.14558</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Bio-Medical-Llama-3-8B</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LLaMA-3-8B-Instruct</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500K+ biomedical instructions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Hugging Face 2024</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3.2 EHR/Clinical Event Sequence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3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Capability</w:t>
            </w:r>
          </w:p>
        </w:tc>
        <w:tc>
          <w:tcPr>
            <w:tcW w:type="dxa" w:w="2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Publication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EHRMamba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Mamba state-space model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FHIR-compatible, 4x longer sequences, linear complexity</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arXiv:2405.14567</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CEHR-BERT</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BERT + temporal tokens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Hybrid age/visit embeddings, improved AUC</w:t>
            </w:r>
          </w:p>
        </w:tc>
        <w:tc>
          <w:tcPr>
            <w:tcW w:type="dxa" w:w="2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npj Digital Medicine 2021/2024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Med-BERT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BERT for structured EHR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28.5M patient records, 1.2-6.1% AUC lift</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npj Digital Medicine 2021/2024</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BEHRT</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Transformer (BERT-like)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Predicts 301 conditions, 1.6M individuals</w:t>
            </w:r>
          </w:p>
        </w:tc>
        <w:tc>
          <w:tcPr>
            <w:tcW w:type="dxa" w:w="2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Scientific Reports 2020/2024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CLMBR-T-base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Transformer (141M params)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2.57M patient timelines, temporal shift robust</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Nature Scientific Reports 2023</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CEHR-GPT</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Generative transformer</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Synthetic EHR generation, privacy-preserving</w:t>
            </w:r>
          </w:p>
        </w:tc>
        <w:tc>
          <w:tcPr>
            <w:tcW w:type="dxa" w:w="2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arXiv 2024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TFT-multi</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Temporal Fusion + multi-task</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 vital signs simultaneous ICU forecasting</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Scientific Reports 2025</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3.3 Medical Imaging Foundation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3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Capability</w:t>
            </w:r>
          </w:p>
        </w:tc>
        <w:tc>
          <w:tcPr>
            <w:tcW w:type="dxa" w:w="1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Publication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MedSAM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SAM adapted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1.57M image-mask pairs, 10 modalities, 30 cancer types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Nature Communications 2024</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MedSAM2</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SAM 2 for 3D/video</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3D medical image &amp; video segmentation</w:t>
            </w:r>
          </w:p>
        </w:tc>
        <w:tc>
          <w:tcPr>
            <w:tcW w:type="dxa" w:w="1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April 2025</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BiomedCLIP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CLIP for biomedical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Image-text alignment, zero-shot segmentation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Microsoft Research 2024</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MedCLIP-SAM</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CLIP + SAM fusion</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Text-driven medical image segmentation</w:t>
            </w:r>
          </w:p>
        </w:tc>
        <w:tc>
          <w:tcPr>
            <w:tcW w:type="dxa" w:w="1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MICCAI 2024</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DINOv2 Med Adaptations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Vision transformer (self-supervised)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Multi-modal medical images, 20% improvement</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MICCAI 2025</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Bio2Vol</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2D-to-3D foundation adapter</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Bridges 2D models to volumetric CT/MRI</w:t>
            </w:r>
          </w:p>
        </w:tc>
        <w:tc>
          <w:tcPr>
            <w:tcW w:type="dxa" w:w="1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MICCAI 2025</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3.4 Multimodal Clinical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3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Capability</w:t>
            </w:r>
          </w:p>
        </w:tc>
        <w:tc>
          <w:tcPr>
            <w:tcW w:type="dxa" w:w="1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Publication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Cardiac Sensing FM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Multimodal transformer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ECG + imaging + structured; 1.7M patients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Nature Machine Intelligence 2026</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LEMOF</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Level-guided fusion</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Codes + values + time-series + notes</w:t>
            </w:r>
          </w:p>
        </w:tc>
        <w:tc>
          <w:tcPr>
            <w:tcW w:type="dxa" w:w="1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arXiv 2026</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MMF-LD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Temporal fusion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Tabular + textual + time-varying clinical</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ScienceDirect 2025</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BioMedGraphica</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Knowledge graph + embeddings</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Drug-target, gene-disease prediction</w:t>
            </w:r>
          </w:p>
        </w:tc>
        <w:tc>
          <w:tcPr>
            <w:tcW w:type="dxa" w:w="1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BioRxiv 2024</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3.5 FHIR/OMOP Open-Source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Function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OMOPonFHIR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FHIR Server on OMOP</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Bidirectional FHIR-OMOP conversion, clinical API</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CumulusQ</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FHIR data quality</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Only open-source FHIR-native quality metrics framework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TermX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Terminology platform</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Bidirectional FHIR-OMOP transformation rules</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ETL-Synthea</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R/SQL ETL</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Converts Synthea CSV to OMOP CDM v5.x</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Synthea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Synthetic data generator</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Realistic 10K-1M patient populations, FHIR export</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WhiteRabbit</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Data profiler</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ETL pre-flight scanner, PII-safe mapping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Achilles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Characterization</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OMOP CDM demographics/condition/drug prevalence</w:t>
            </w:r>
          </w:p>
        </w:tc>
      </w:tr>
      <w:tr>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Data Quality Dashboard</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Quality framework</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1500+ standardized quality checks for OMOP</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Great Expectations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Python validation</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Healthcare-specific plugins emerging for CI/CD</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4. Interoperability Standards &amp; Regulatory Landscape</w:t>
      </w:r>
    </w:p>
    <w:p>
      <w:pPr>
        <w:pStyle w:val="Heading2"/>
        <w:spacing w:after="160" w:before="280"/>
      </w:pPr>
      <w:r>
        <w:rPr>
          <w:rFonts w:ascii="Arial" w:cs="Arial" w:eastAsia="Arial" w:hAnsi="Arial"/>
          <w:b/>
          <w:bCs/>
          <w:color w:val="2E86C1"/>
          <w:sz w:val="28"/>
          <w:szCs w:val="28"/>
        </w:rPr>
        <w:t xml:space="preserve">4.1 HL7 FHIR R4/R5 Adoption</w:t>
      </w:r>
    </w:p>
    <w:p>
      <w:pPr>
        <w:spacing w:after="120"/>
      </w:pPr>
      <w:r>
        <w:rPr>
          <w:rFonts w:ascii="Arial" w:cs="Arial" w:eastAsia="Arial" w:hAnsi="Arial"/>
          <w:sz w:val="22"/>
          <w:szCs w:val="22"/>
        </w:rPr>
        <w:t xml:space="preserve">FHIR adoption has reached a critical inflection point. As of 2025, 71% of countries report active FHIR use (up from 56% in 2023), 87% of US hospitals are served by FHIR-certified EHR vendors, and 73% of countries with health data regulations mandate or advise FHIR. R4 remains dominant (22 of 38 surveyed countries), with many planning direct R4-to-R6 migration.</w:t>
      </w:r>
    </w:p>
    <w:p>
      <w:pPr>
        <w:spacing w:after="120"/>
      </w:pPr>
      <w:r>
        <w:rPr>
          <w:rFonts w:ascii="Arial" w:cs="Arial" w:eastAsia="Arial" w:hAnsi="Arial"/>
          <w:b/>
          <w:bCs/>
          <w:sz w:val="22"/>
          <w:szCs w:val="22"/>
        </w:rPr>
        <w:t xml:space="preserve">SMART on FHIR: </w:t>
      </w:r>
      <w:r>
        <w:rPr>
          <w:rFonts w:ascii="Arial" w:cs="Arial" w:eastAsia="Arial" w:hAnsi="Arial"/>
          <w:sz w:val="22"/>
          <w:szCs w:val="22"/>
        </w:rPr>
        <w:t xml:space="preserve">Hospital patient-facing app access grew from 68% (2021) to 80% (2023-24). CMS names SMART on FHIR as the preferred standard for 21st Century Cures Act APIs.</w:t>
      </w:r>
    </w:p>
    <w:p>
      <w:pPr>
        <w:spacing w:after="120"/>
      </w:pPr>
      <w:r>
        <w:rPr>
          <w:rFonts w:ascii="Arial" w:cs="Arial" w:eastAsia="Arial" w:hAnsi="Arial"/>
          <w:b/>
          <w:bCs/>
          <w:sz w:val="22"/>
          <w:szCs w:val="22"/>
        </w:rPr>
        <w:t xml:space="preserve">Bulk FHIR: </w:t>
      </w:r>
      <w:r>
        <w:rPr>
          <w:rFonts w:ascii="Arial" w:cs="Arial" w:eastAsia="Arial" w:hAnsi="Arial"/>
          <w:sz w:val="22"/>
          <w:szCs w:val="22"/>
        </w:rPr>
        <w:t xml:space="preserve">The NCQA Bulk FHIR Quality Coalition (launched 2024) performs end-to-end testing for population health measurement via digital HEDIS.</w:t>
      </w:r>
    </w:p>
    <w:p>
      <w:pPr>
        <w:pStyle w:val="Heading2"/>
        <w:spacing w:after="160" w:before="280"/>
      </w:pPr>
      <w:r>
        <w:rPr>
          <w:rFonts w:ascii="Arial" w:cs="Arial" w:eastAsia="Arial" w:hAnsi="Arial"/>
          <w:b/>
          <w:bCs/>
          <w:color w:val="2E86C1"/>
          <w:sz w:val="28"/>
          <w:szCs w:val="28"/>
        </w:rPr>
        <w:t xml:space="preserve">4.2 OMOP CDM &amp; HL7-OHDSI Integration</w:t>
      </w:r>
    </w:p>
    <w:p>
      <w:pPr>
        <w:spacing w:after="120"/>
      </w:pPr>
      <w:r>
        <w:rPr>
          <w:rFonts w:ascii="Arial" w:cs="Arial" w:eastAsia="Arial" w:hAnsi="Arial"/>
          <w:sz w:val="22"/>
          <w:szCs w:val="22"/>
        </w:rPr>
        <w:t xml:space="preserve">The HL7-OHDSI partnership (2024) is creating a FHIR-to-OMOP v5.4 specification for core EMR data elements. This enables leveraging FHIR's contemporary interoperability APIs alongside OHDSI's advanced analytic methods within a single architecture. The FHIR-to-OMOP Implementation Guide establishes stable transformation artifacts, validated via FHIR Connectathon testing.</w:t>
      </w:r>
    </w:p>
    <w:p>
      <w:pPr>
        <w:pStyle w:val="Heading2"/>
        <w:spacing w:after="160" w:before="280"/>
      </w:pPr>
      <w:r>
        <w:rPr>
          <w:rFonts w:ascii="Arial" w:cs="Arial" w:eastAsia="Arial" w:hAnsi="Arial"/>
          <w:b/>
          <w:bCs/>
          <w:color w:val="2E86C1"/>
          <w:sz w:val="28"/>
          <w:szCs w:val="28"/>
        </w:rPr>
        <w:t xml:space="preserve">4.3 USCDI v4-v6 &amp; Regulatory Mandates</w:t>
      </w:r>
    </w:p>
    <w:p>
      <w:pPr>
        <w:spacing w:after="120"/>
      </w:pPr>
      <w:r>
        <w:rPr>
          <w:rFonts w:ascii="Arial" w:cs="Arial" w:eastAsia="Arial" w:hAnsi="Arial"/>
          <w:sz w:val="22"/>
          <w:szCs w:val="22"/>
        </w:rPr>
        <w:t xml:space="preserve">USCDI has expanded from v3 to v6 (July 2025), now encompassing 112+ data elements across 19 data classes. Key additions include substance use assessments, medication adherence, and facility information. USCDI serves as the foundational data layer for certified FHIR APIs, CMS payer-to-payer data exchange (Jan 2027), and HTI-1/HTI-2 compliance.</w:t>
      </w:r>
    </w:p>
    <w:p>
      <w:pPr>
        <w:pStyle w:val="Heading2"/>
        <w:spacing w:after="160" w:before="280"/>
      </w:pPr>
      <w:r>
        <w:rPr>
          <w:rFonts w:ascii="Arial" w:cs="Arial" w:eastAsia="Arial" w:hAnsi="Arial"/>
          <w:b/>
          <w:bCs/>
          <w:color w:val="2E86C1"/>
          <w:sz w:val="28"/>
          <w:szCs w:val="28"/>
        </w:rPr>
        <w:t xml:space="preserve">4.4 OpenEHR vs FHIR</w:t>
      </w:r>
    </w:p>
    <w:p>
      <w:pPr>
        <w:spacing w:after="120"/>
      </w:pPr>
      <w:r>
        <w:rPr>
          <w:rFonts w:ascii="Arial" w:cs="Arial" w:eastAsia="Arial" w:hAnsi="Arial"/>
          <w:sz w:val="22"/>
          <w:szCs w:val="22"/>
        </w:rPr>
        <w:t xml:space="preserve">Rather than competing, the emerging best practice uses OpenEHR as the underlying clinical content framework for structured storage, versioning, and queryability, with FHIR as the transport mechanism for exposing data to external applications. This achieves semantic interoperability (OpenEHR) plus pragmatic exchange (FHIR).</w:t>
      </w:r>
    </w:p>
    <w:p>
      <w:pPr>
        <w:pStyle w:val="Heading2"/>
        <w:spacing w:after="160" w:before="280"/>
      </w:pPr>
      <w:r>
        <w:rPr>
          <w:rFonts w:ascii="Arial" w:cs="Arial" w:eastAsia="Arial" w:hAnsi="Arial"/>
          <w:b/>
          <w:bCs/>
          <w:color w:val="2E86C1"/>
          <w:sz w:val="28"/>
          <w:szCs w:val="28"/>
        </w:rPr>
        <w:t xml:space="preserve">4.5 Regulatory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Regulation</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Jurisdiction</w:t>
            </w:r>
          </w:p>
        </w:tc>
        <w:tc>
          <w:tcPr>
            <w:tcW w:type="dxa" w:w="2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Deadlines</w:t>
            </w:r>
          </w:p>
        </w:tc>
        <w:tc>
          <w:tcPr>
            <w:tcW w:type="dxa" w:w="37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 on Architecture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ONC HTI-1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United States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USCDI v3: Jan 2026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Mandates certified FHIR APIs, USCDI support</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CMS Interop Rule</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United States</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Provider/Payer APIs: Jan 2027</w:t>
            </w:r>
          </w:p>
        </w:tc>
        <w:tc>
          <w:tcPr>
            <w:tcW w:type="dxa" w:w="3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Patient Access, Provider Access, Payer-to-Payer APIs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EU EHDS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European Union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Certification: Jan 2026; Enforcement: 2027</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Mandatory interoperable EHR systems, cross-border exchange</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Brazil RNDS</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Brazil</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Active (FHIR R4 mandated)</w:t>
            </w:r>
          </w:p>
        </w:tc>
        <w:tc>
          <w:tcPr>
            <w:tcW w:type="dxa" w:w="3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National health data network, IPS implementation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Mexico Interop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Mexico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Active (federated FHIR R4)</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Federated architecture with mandatory standards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Colombia Law 1,955</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Colombia</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Active</w:t>
            </w:r>
          </w:p>
        </w:tc>
        <w:tc>
          <w:tcPr>
            <w:tcW w:type="dxa" w:w="3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Mandatory medical history interoperability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LGPD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Brazil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Active (since Aug 2020)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Sensitive health data restrictions, consent granularity</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5. Health 3.0 Startup Outcomes &amp; Ventures</w:t>
      </w:r>
    </w:p>
    <w:p>
      <w:pPr>
        <w:pStyle w:val="Heading2"/>
        <w:spacing w:after="160" w:before="280"/>
      </w:pPr>
      <w:r>
        <w:rPr>
          <w:rFonts w:ascii="Arial" w:cs="Arial" w:eastAsia="Arial" w:hAnsi="Arial"/>
          <w:b/>
          <w:bCs/>
          <w:color w:val="2E86C1"/>
          <w:sz w:val="28"/>
          <w:szCs w:val="28"/>
        </w:rPr>
        <w:t xml:space="preserve">5.1 High-Growth Ventures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Funding</w:t>
            </w:r>
          </w:p>
        </w:tc>
        <w:tc>
          <w:tcPr>
            <w:tcW w:type="dxa" w:w="3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Outcomes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Tempus AI</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Clinical data &amp; AI diagnostics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$1.05B+ ($300M debt 2025)</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$1.27B revenue (+83% YoY); profitability</w:t>
            </w:r>
          </w:p>
        </w:tc>
      </w:tr>
      <w:tr>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Abridge</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Ambient AI documentation</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$550M+ (Series E: $300M)</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150+ health systems; 20% note reduction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Hippocratic AI</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Patient-facing AI agents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$404M (Series C: $126M)</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115M interactions; zero safety incidents</w:t>
            </w:r>
          </w:p>
        </w:tc>
      </w:tr>
      <w:tr>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Aidoc</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Imaging AI platform</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$370M</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30+ FDA clearances; 900+ hospitals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Ambience Healthcare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Ambient AI docs (inpatient)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$243M Series C</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97.7 KLAS score; first inpatient CDI</w:t>
            </w:r>
          </w:p>
        </w:tc>
      </w:tr>
      <w:tr>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Rad AI</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Radiology AI</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$140M+ (Series C: $60M)</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Deloitte Fast 500 #19; major health systems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Nabla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Clinical AI copilot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$120M (Series C: $70M)</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NEJM trial: 9.5% time-in-note reduction</w:t>
            </w:r>
          </w:p>
        </w:tc>
      </w:tr>
      <w:tr>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Cleerly</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Cardiac imaging AI</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$106M Series C</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CPT code + Medicare coverage achieved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Commure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Healthcare interop platform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$200M Series B</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80+ health systems; 30M+ encounters/yr</w:t>
            </w:r>
          </w:p>
        </w:tc>
      </w:tr>
      <w:tr>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Owkin</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Federated learning/pharma</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$300M+ est.</w:t>
            </w:r>
          </w:p>
        </w:tc>
        <w:tc>
          <w:tcPr>
            <w:tcW w:type="dxa" w:w="3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35% market share in AI drug discovery</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5.2 Failed &amp; Shutdown Ventures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Valuation/Funding</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3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Root Cause / Lesson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Olive AI</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$4B / $400M Series 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Shutdown Oct 2023</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Overpromising; too broad; poor execution</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Babylon Health</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IPO then bankruptcy</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Shutdown 2023; sold to eMed</w:t>
            </w:r>
          </w:p>
        </w:tc>
        <w:tc>
          <w:tcPr>
            <w:tcW w:type="dxa" w:w="3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Unsustainable unit economics post-pandemic</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Forward Health</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Well-funded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Wound down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Retail clinic competition; capital constraints</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Carbon Health</w:t>
            </w:r>
          </w:p>
        </w:tc>
        <w:tc>
          <w:tcPr>
            <w:tcW w:type="dxa" w:w="2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CVS $100M investment</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Chapter 11 (Feb 2026)</w:t>
            </w:r>
          </w:p>
        </w:tc>
        <w:tc>
          <w:tcPr>
            <w:tcW w:type="dxa" w:w="3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Capital-intensive clinic model unsustainable</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5.3 Enterprise Platform Strategies</w:t>
      </w:r>
    </w:p>
    <w:p>
      <w:pPr>
        <w:spacing w:after="120"/>
      </w:pPr>
      <w:r>
        <w:rPr>
          <w:rFonts w:ascii="Arial" w:cs="Arial" w:eastAsia="Arial" w:hAnsi="Arial"/>
          <w:b/>
          <w:bCs/>
          <w:sz w:val="22"/>
          <w:szCs w:val="22"/>
        </w:rPr>
        <w:t xml:space="preserve">Epic Systems: </w:t>
      </w:r>
      <w:r>
        <w:rPr>
          <w:rFonts w:ascii="Arial" w:cs="Arial" w:eastAsia="Arial" w:hAnsi="Arial"/>
          <w:sz w:val="22"/>
          <w:szCs w:val="22"/>
        </w:rPr>
        <w:t xml:space="preserve">42.3% acute care market share. Slicer Dicer Sidekick (Nov 2024) for conversational queries. Agentic AI roadmap for 2025 pre/during/post-visit automation. 60% of Epic health system CIOs report active generative AI in clinical care.</w:t>
      </w:r>
    </w:p>
    <w:p>
      <w:pPr>
        <w:spacing w:after="120"/>
      </w:pPr>
      <w:r>
        <w:rPr>
          <w:rFonts w:ascii="Arial" w:cs="Arial" w:eastAsia="Arial" w:hAnsi="Arial"/>
          <w:b/>
          <w:bCs/>
          <w:sz w:val="22"/>
          <w:szCs w:val="22"/>
        </w:rPr>
        <w:t xml:space="preserve">Oracle Health: </w:t>
      </w:r>
      <w:r>
        <w:rPr>
          <w:rFonts w:ascii="Arial" w:cs="Arial" w:eastAsia="Arial" w:hAnsi="Arial"/>
          <w:sz w:val="22"/>
          <w:szCs w:val="22"/>
        </w:rPr>
        <w:t xml:space="preserve">22.9% acute care share. Next-gen cloud-native EHR built from scratch on OCI. Clinical AI Agent with 1M+ notes across 30+ specialties. 30% documentation time reduction.</w:t>
      </w:r>
    </w:p>
    <w:p>
      <w:pPr>
        <w:spacing w:after="120"/>
      </w:pPr>
      <w:r>
        <w:rPr>
          <w:rFonts w:ascii="Arial" w:cs="Arial" w:eastAsia="Arial" w:hAnsi="Arial"/>
          <w:b/>
          <w:bCs/>
          <w:sz w:val="22"/>
          <w:szCs w:val="22"/>
        </w:rPr>
        <w:t xml:space="preserve">Microsoft/Nuance: </w:t>
      </w:r>
      <w:r>
        <w:rPr>
          <w:rFonts w:ascii="Arial" w:cs="Arial" w:eastAsia="Arial" w:hAnsi="Arial"/>
          <w:sz w:val="22"/>
          <w:szCs w:val="22"/>
        </w:rPr>
        <w:t xml:space="preserve">Dragon Ambient eXperience (DAX) Copilot in general availability. Epic EHR embedded. Dragon Copilot for Nurses. Healthcare-specific Copilot Studio with clinical safety safeguards.</w:t>
      </w:r>
    </w:p>
    <w:p>
      <w:pPr>
        <w:spacing w:after="120"/>
      </w:pPr>
      <w:r>
        <w:rPr>
          <w:rFonts w:ascii="Arial" w:cs="Arial" w:eastAsia="Arial" w:hAnsi="Arial"/>
          <w:b/>
          <w:bCs/>
          <w:sz w:val="22"/>
          <w:szCs w:val="22"/>
        </w:rPr>
        <w:t xml:space="preserve">AWS HealthLake: </w:t>
      </w:r>
      <w:r>
        <w:rPr>
          <w:rFonts w:ascii="Arial" w:cs="Arial" w:eastAsia="Arial" w:hAnsi="Arial"/>
          <w:sz w:val="22"/>
          <w:szCs w:val="22"/>
        </w:rPr>
        <w:t xml:space="preserve">HIPAA-eligible FHIR persistence with automatic Apache Iceberg conversion. SQL-on-FHIR. NLP via Comprehend Medical. Health Data Accelerator with Databricks integration.</w:t>
      </w:r>
    </w:p>
    <w:p>
      <w:pPr>
        <w:pStyle w:val="Heading2"/>
        <w:spacing w:after="160" w:before="280"/>
      </w:pPr>
      <w:r>
        <w:rPr>
          <w:rFonts w:ascii="Arial" w:cs="Arial" w:eastAsia="Arial" w:hAnsi="Arial"/>
          <w:b/>
          <w:bCs/>
          <w:color w:val="2E86C1"/>
          <w:sz w:val="28"/>
          <w:szCs w:val="28"/>
        </w:rPr>
        <w:t xml:space="preserve">5.4 Key Lessons from Startup Outcomes</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Ambient AI for documentation (100% adoption activity); multi-specialty coverage (50-80+ specialties); reimbursement + clinical evidence (CPT codes + RCTs); enterprise health system partnerships (50+ systems); agentic workflows (autonomous task execution).</w:t>
      </w:r>
    </w:p>
    <w:p>
      <w:pPr>
        <w:spacing w:after="120"/>
      </w:pPr>
      <w:r>
        <w:rPr>
          <w:rFonts w:ascii="Arial" w:cs="Arial" w:eastAsia="Arial" w:hAnsi="Arial"/>
          <w:b/>
          <w:bCs/>
          <w:sz w:val="22"/>
          <w:szCs w:val="22"/>
        </w:rPr>
        <w:t xml:space="preserve">What fails: </w:t>
      </w:r>
      <w:r>
        <w:rPr>
          <w:rFonts w:ascii="Arial" w:cs="Arial" w:eastAsia="Arial" w:hAnsi="Arial"/>
          <w:sz w:val="22"/>
          <w:szCs w:val="22"/>
        </w:rPr>
        <w:t xml:space="preserve">Breadth without depth (Olive AI); pharma parent constraints (Flatiron/Roche); capital-intensive physical models (Carbon Health); lack of transparency; single-use-case positioning limiting TAM.</w:t>
      </w:r>
    </w:p>
    <w:p>
      <w:r>
        <w:br w:type="page"/>
      </w:r>
    </w:p>
    <w:p>
      <w:pPr>
        <w:pStyle w:val="Heading1"/>
        <w:spacing w:after="200" w:before="360"/>
      </w:pPr>
      <w:r>
        <w:rPr>
          <w:rFonts w:ascii="Arial" w:cs="Arial" w:eastAsia="Arial" w:hAnsi="Arial"/>
          <w:b/>
          <w:bCs/>
          <w:color w:val="1B4F72"/>
          <w:sz w:val="32"/>
          <w:szCs w:val="32"/>
        </w:rPr>
        <w:t xml:space="preserve">6. Key Peer-Reviewed Studies (2023-2026)</w:t>
      </w:r>
    </w:p>
    <w:p>
      <w:pPr>
        <w:pStyle w:val="Heading2"/>
        <w:spacing w:after="160" w:before="280"/>
      </w:pPr>
      <w:r>
        <w:rPr>
          <w:rFonts w:ascii="Arial" w:cs="Arial" w:eastAsia="Arial" w:hAnsi="Arial"/>
          <w:b/>
          <w:bCs/>
          <w:color w:val="2E86C1"/>
          <w:sz w:val="28"/>
          <w:szCs w:val="28"/>
        </w:rPr>
        <w:t xml:space="preserve">6.1 Data Architecture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Study</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Journal/Year</w:t>
            </w:r>
          </w:p>
        </w:tc>
        <w:tc>
          <w:tcPr>
            <w:tcW w:type="dxa" w:w="4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Finding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Comparative Evaluation of Clinical Data Architectures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JMIR 2025 (e74976)</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Lakehouses best balance governance + flexibility via FAIR/5V analysis</w:t>
            </w:r>
          </w:p>
        </w:tc>
      </w:tr>
      <w:tr>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AI Platform Architecture for Hospital Systems</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JMIR 2025 (e79788)</w:t>
            </w:r>
          </w:p>
        </w:tc>
        <w:tc>
          <w:tcPr>
            <w:tcW w:type="dxa" w:w="4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5-layer framework validated across hospital AI implementations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Clinical Data Quality Management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JMIR 2025 (e60709)</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Systematic review of quality assurance in secondary data use</w:t>
            </w:r>
          </w:p>
        </w:tc>
      </w:tr>
      <w:tr>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Evolution of Digital Health Research Infrastructure</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JMIR 2024 (e58637)</w:t>
            </w:r>
          </w:p>
        </w:tc>
        <w:tc>
          <w:tcPr>
            <w:tcW w:type="dxa" w:w="4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CDMs, federated learning, synthetic data for siloed systems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Integration of AI with Interoperable Data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Nature Medicine 2024</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Seamless EHR data flow requires standards + interoperability</w:t>
            </w:r>
          </w:p>
        </w:tc>
      </w:tr>
      <w:tr>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State-of-the-Art FHIR Implementations</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JMIR Med Inform 2024 (e58445)</w:t>
            </w:r>
          </w:p>
        </w:tc>
        <w:tc>
          <w:tcPr>
            <w:tcW w:type="dxa" w:w="4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Foundational taxonomy of FHIR implementation patterns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Common Data Models Systematic Review</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PMC 2025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OMOP CDM and FHIR scored best in comprehensive evaluation</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6.2 Clinical AI Outcome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Study</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Journal/Year</w:t>
            </w:r>
          </w:p>
        </w:tc>
        <w:tc>
          <w:tcPr>
            <w:tcW w:type="dxa" w:w="4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Finding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Nabla AI Documentation RCT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NEJM AI Dec 2025</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9.5% reduction in time-in-note (238 physicians, 14 specialties)</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Cleveland Clinic Sepsis AI</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Real-world 2024</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10x reduction false positives; 46% more sepsis identified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RECTIFIER Trial (Heart Failure)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JAMA 2025</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Nearly doubled enrollment rates vs. manual screening</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Healthcare AI Publications Analysis</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medRxiv 2025</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49,394 publications in 2025; foundation models surged 25 to 144</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Ambient AI Clinical Documentation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JMIR 2025 (e76743)</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Reduces burden + enhances satisfaction; evidence still maturing</w:t>
            </w:r>
          </w:p>
        </w:tc>
      </w:tr>
      <w:tr>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Responsible Multimodal AI Adoption</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Lancet Digital Health 2025</w:t>
            </w:r>
          </w:p>
        </w:tc>
        <w:tc>
          <w:tcPr>
            <w:tcW w:type="dxa" w:w="43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Literature analysis covering 2015-2024 on promises + challenges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Federated Learning UK Hospitals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Lancet Digital Health 2023</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COVID-19 screening model across 4 hospital groups without centralization</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6.3 Adoption &amp; Market Evidence</w:t>
      </w:r>
    </w:p>
    <w:p>
      <w:pPr>
        <w:spacing w:after="120"/>
      </w:pPr>
      <w:r>
        <w:rPr>
          <w:rFonts w:ascii="Arial" w:cs="Arial" w:eastAsia="Arial" w:hAnsi="Arial"/>
          <w:sz w:val="22"/>
          <w:szCs w:val="22"/>
        </w:rPr>
        <w:t xml:space="preserve">A 2024-2025 PMC survey found 31.5% of US hospitals using generative AI, projected to reach 50% by end of 2025. Predictive AI in EHRs grew from 66% (2023) to 71% (2024). Ambient Notes is the only category with 100% adoption activity. Healthcare AI venture funding rose 20% between 2023 and 2024, with continued growth in early 2025 (McKinsey).</w:t>
      </w:r>
    </w:p>
    <w:p>
      <w:r>
        <w:br w:type="page"/>
      </w:r>
    </w:p>
    <w:p>
      <w:pPr>
        <w:pStyle w:val="Heading1"/>
        <w:spacing w:after="200" w:before="360"/>
      </w:pPr>
      <w:r>
        <w:rPr>
          <w:rFonts w:ascii="Arial" w:cs="Arial" w:eastAsia="Arial" w:hAnsi="Arial"/>
          <w:b/>
          <w:bCs/>
          <w:color w:val="1B4F72"/>
          <w:sz w:val="32"/>
          <w:szCs w:val="32"/>
        </w:rPr>
        <w:t xml:space="preserve">7. LATAM Healthcare Data Architecture Context</w:t>
      </w:r>
    </w:p>
    <w:p>
      <w:pPr>
        <w:spacing w:after="120"/>
      </w:pPr>
      <w:r>
        <w:rPr>
          <w:rFonts w:ascii="Arial" w:cs="Arial" w:eastAsia="Arial" w:hAnsi="Arial"/>
          <w:sz w:val="22"/>
          <w:szCs w:val="22"/>
        </w:rPr>
        <w:t xml:space="preserve">Latin America presents unique opportunities and challenges for Health 3.0 implementation. Key considerations:</w:t>
      </w:r>
    </w:p>
    <w:p>
      <w:pPr>
        <w:pStyle w:val="Heading2"/>
        <w:spacing w:after="160" w:before="280"/>
      </w:pPr>
      <w:r>
        <w:rPr>
          <w:rFonts w:ascii="Arial" w:cs="Arial" w:eastAsia="Arial" w:hAnsi="Arial"/>
          <w:b/>
          <w:bCs/>
          <w:color w:val="2E86C1"/>
          <w:sz w:val="28"/>
          <w:szCs w:val="28"/>
        </w:rPr>
        <w:t xml:space="preserve">7.1 Brazil RNDS &amp; FHIR Adoption</w:t>
      </w:r>
    </w:p>
    <w:p>
      <w:pPr>
        <w:spacing w:after="120"/>
      </w:pPr>
      <w:r>
        <w:rPr>
          <w:rFonts w:ascii="Arial" w:cs="Arial" w:eastAsia="Arial" w:hAnsi="Arial"/>
          <w:sz w:val="22"/>
          <w:szCs w:val="22"/>
        </w:rPr>
        <w:t xml:space="preserve">Brazil's RNDS (National Health Data Network) is one of the world's largest national health interoperability platforms, mandating HL7 FHIR R4 for all information exchanges. The Brazilian International Patient Summary (IPS) is fully operational in the Meu SUS Digital application. Built using FHIR ShortHand (FSH), it adds Brazilian-specific CodeSystems and ValueSets.</w:t>
      </w:r>
    </w:p>
    <w:p>
      <w:pPr>
        <w:pStyle w:val="Heading2"/>
        <w:spacing w:after="160" w:before="280"/>
      </w:pPr>
      <w:r>
        <w:rPr>
          <w:rFonts w:ascii="Arial" w:cs="Arial" w:eastAsia="Arial" w:hAnsi="Arial"/>
          <w:b/>
          <w:bCs/>
          <w:color w:val="2E86C1"/>
          <w:sz w:val="28"/>
          <w:szCs w:val="28"/>
        </w:rPr>
        <w:t xml:space="preserve">7.2 LGPD &amp; Health Data Privacy</w:t>
      </w:r>
    </w:p>
    <w:p>
      <w:pPr>
        <w:spacing w:after="120"/>
      </w:pPr>
      <w:r>
        <w:rPr>
          <w:rFonts w:ascii="Arial" w:cs="Arial" w:eastAsia="Arial" w:hAnsi="Arial"/>
          <w:sz w:val="22"/>
          <w:szCs w:val="22"/>
        </w:rPr>
        <w:t xml:space="preserve">Brazil's LGPD (General Data Protection Law) prohibits sharing sensitive health data between controllers for economic advantage. Permitted sharing is limited to health service provision, pharmaceutical assistance, and diagnosis/therapy. Private health insurers are banned from processing health data for risk selection under Art. 11, Sec. 5. The Electronic Medical Records Law (Law No 13,787/2018) complements LGPD with guidelines for secure storage and management.</w:t>
      </w:r>
    </w:p>
    <w:p>
      <w:pPr>
        <w:pStyle w:val="Heading2"/>
        <w:spacing w:after="160" w:before="280"/>
      </w:pPr>
      <w:r>
        <w:rPr>
          <w:rFonts w:ascii="Arial" w:cs="Arial" w:eastAsia="Arial" w:hAnsi="Arial"/>
          <w:b/>
          <w:bCs/>
          <w:color w:val="2E86C1"/>
          <w:sz w:val="28"/>
          <w:szCs w:val="28"/>
        </w:rPr>
        <w:t xml:space="preserve">7.3 Regional Trends</w:t>
      </w:r>
    </w:p>
    <w:p>
      <w:pPr>
        <w:spacing w:after="120"/>
      </w:pPr>
      <w:r>
        <w:rPr>
          <w:rFonts w:ascii="Arial" w:cs="Arial" w:eastAsia="Arial" w:hAnsi="Arial"/>
          <w:sz w:val="22"/>
          <w:szCs w:val="22"/>
        </w:rPr>
        <w:t xml:space="preserve">Mexico is establishing an HL7 chapter and building a federated FHIR R4 national interoperability platform at api.pni.gob.mx/fhir/r4/. Colombia's Law 1,955 (2019) mandates electronic interoperability for medical histories. MERCOSUR initiatives are driving regional regulatory convergence. The Latin America patient safety software market was valued at USD 131.6M in 2024 with 12.6% projected CAGR.</w:t>
      </w:r>
    </w:p>
    <w:p>
      <w:r>
        <w:br w:type="page"/>
      </w:r>
    </w:p>
    <w:p>
      <w:pPr>
        <w:pStyle w:val="Heading1"/>
        <w:spacing w:after="200" w:before="360"/>
      </w:pPr>
      <w:r>
        <w:rPr>
          <w:rFonts w:ascii="Arial" w:cs="Arial" w:eastAsia="Arial" w:hAnsi="Arial"/>
          <w:b/>
          <w:bCs/>
          <w:color w:val="1B4F72"/>
          <w:sz w:val="32"/>
          <w:szCs w:val="32"/>
        </w:rPr>
        <w:t xml:space="preserve">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2960"/>
      </w:tblGrid>
      <w:tr>
        <w:tc>
          <w:tcPr>
            <w:tcW w:type="dxa" w:w="1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Actions</w:t>
            </w:r>
          </w:p>
        </w:tc>
        <w:tc>
          <w:tcPr>
            <w:tcW w:type="dxa" w:w="2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Phase 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Months 1-6</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Select cloud provider; implement FHIR normalization; build data lakehouse; deploy data catalog</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FHIR-compliant data lake operational</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Phase 2</w:t>
            </w:r>
          </w:p>
        </w:tc>
        <w:tc>
          <w:tcPr>
            <w:tcW w:type="dxa" w:w="1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Months 6-12</w:t>
            </w:r>
          </w:p>
        </w:tc>
        <w:tc>
          <w:tcPr>
            <w:tcW w:type="dxa" w:w="3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Deploy Kafka pipelines for critical vitals; build Neo4j knowledge graph; first CDS model (sepsis/readmission); test federated learning</w:t>
            </w:r>
          </w:p>
        </w:tc>
        <w:tc>
          <w:tcPr>
            <w:tcW w:type="dxa" w:w="2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20"/>
                <w:szCs w:val="20"/>
              </w:rPr>
              <w:t xml:space="preserve">Real-time alerting + first AI model live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Phase 3</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Year 2</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Federated learning across hospital network; expand vector database; achieve TEFCA certification; migrate legacy warehouse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Multi-hospital AI collaboration active</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8"/>
          <w:szCs w:val="28"/>
        </w:rPr>
        <w:t xml:space="preserve">8.1 Critical Success Factors</w:t>
      </w:r>
    </w:p>
    <w:p>
      <w:pPr>
        <w:pStyle w:val="ListParagraph"/>
        <w:numPr>
          <w:ilvl w:val="0"/>
          <w:numId w:val="3"/>
        </w:numPr>
        <w:spacing w:after="60"/>
      </w:pPr>
      <w:r>
        <w:rPr>
          <w:rFonts w:ascii="Arial" w:cs="Arial" w:eastAsia="Arial" w:hAnsi="Arial"/>
          <w:sz w:val="21"/>
          <w:szCs w:val="21"/>
        </w:rPr>
        <w:t xml:space="preserve">FHIR R4/R5 standardization (DSTU2 end-of-life: December 2025)</w:t>
      </w:r>
    </w:p>
    <w:p>
      <w:pPr>
        <w:pStyle w:val="ListParagraph"/>
        <w:numPr>
          <w:ilvl w:val="0"/>
          <w:numId w:val="3"/>
        </w:numPr>
        <w:spacing w:after="60"/>
      </w:pPr>
      <w:r>
        <w:rPr>
          <w:rFonts w:ascii="Arial" w:cs="Arial" w:eastAsia="Arial" w:hAnsi="Arial"/>
          <w:sz w:val="21"/>
          <w:szCs w:val="21"/>
        </w:rPr>
        <w:t xml:space="preserve">Privacy-by-design: Federated &gt; centralized for multi-hospital collaboration</w:t>
      </w:r>
    </w:p>
    <w:p>
      <w:pPr>
        <w:pStyle w:val="ListParagraph"/>
        <w:numPr>
          <w:ilvl w:val="0"/>
          <w:numId w:val="3"/>
        </w:numPr>
        <w:spacing w:after="60"/>
      </w:pPr>
      <w:r>
        <w:rPr>
          <w:rFonts w:ascii="Arial" w:cs="Arial" w:eastAsia="Arial" w:hAnsi="Arial"/>
          <w:sz w:val="21"/>
          <w:szCs w:val="21"/>
        </w:rPr>
        <w:t xml:space="preserve">Real-time clinical alerting proven in production (Kafka-Flink)</w:t>
      </w:r>
    </w:p>
    <w:p>
      <w:pPr>
        <w:pStyle w:val="ListParagraph"/>
        <w:numPr>
          <w:ilvl w:val="0"/>
          <w:numId w:val="3"/>
        </w:numPr>
        <w:spacing w:after="60"/>
      </w:pPr>
      <w:r>
        <w:rPr>
          <w:rFonts w:ascii="Arial" w:cs="Arial" w:eastAsia="Arial" w:hAnsi="Arial"/>
          <w:sz w:val="21"/>
          <w:szCs w:val="21"/>
        </w:rPr>
        <w:t xml:space="preserve">Knowledge graphs + vector databases for clinical decision support</w:t>
      </w:r>
    </w:p>
    <w:p>
      <w:pPr>
        <w:pStyle w:val="ListParagraph"/>
        <w:numPr>
          <w:ilvl w:val="0"/>
          <w:numId w:val="3"/>
        </w:numPr>
        <w:spacing w:after="60"/>
      </w:pPr>
      <w:r>
        <w:rPr>
          <w:rFonts w:ascii="Arial" w:cs="Arial" w:eastAsia="Arial" w:hAnsi="Arial"/>
          <w:sz w:val="21"/>
          <w:szCs w:val="21"/>
        </w:rPr>
        <w:t xml:space="preserve">TEFCA readiness and cross-border interoperability certification</w:t>
      </w:r>
    </w:p>
    <w:p>
      <w:pPr>
        <w:pStyle w:val="ListParagraph"/>
        <w:numPr>
          <w:ilvl w:val="0"/>
          <w:numId w:val="3"/>
        </w:numPr>
        <w:spacing w:after="60"/>
      </w:pPr>
      <w:r>
        <w:rPr>
          <w:rFonts w:ascii="Arial" w:cs="Arial" w:eastAsia="Arial" w:hAnsi="Arial"/>
          <w:sz w:val="21"/>
          <w:szCs w:val="21"/>
        </w:rPr>
        <w:t xml:space="preserve">Regulatory compliance across jurisdictions (HIPAA, LGPD, EHDS)</w:t>
      </w:r>
    </w:p>
    <w:p>
      <w:r>
        <w:br w:type="page"/>
      </w:r>
    </w:p>
    <w:p>
      <w:pPr>
        <w:pStyle w:val="Heading1"/>
        <w:spacing w:after="200" w:before="360"/>
      </w:pPr>
      <w:r>
        <w:rPr>
          <w:rFonts w:ascii="Arial" w:cs="Arial" w:eastAsia="Arial" w:hAnsi="Arial"/>
          <w:b/>
          <w:bCs/>
          <w:color w:val="1B4F72"/>
          <w:sz w:val="32"/>
          <w:szCs w:val="32"/>
        </w:rPr>
        <w:t xml:space="preserve">9. References &amp; Sources</w:t>
      </w:r>
    </w:p>
    <w:p>
      <w:pPr>
        <w:pStyle w:val="Heading2"/>
        <w:spacing w:after="160" w:before="280"/>
      </w:pPr>
      <w:r>
        <w:rPr>
          <w:rFonts w:ascii="Arial" w:cs="Arial" w:eastAsia="Arial" w:hAnsi="Arial"/>
          <w:b/>
          <w:bCs/>
          <w:color w:val="2E86C1"/>
          <w:sz w:val="28"/>
          <w:szCs w:val="28"/>
        </w:rPr>
        <w:t xml:space="preserve">9.1 Peer-Reviewed Journals</w:t>
      </w:r>
    </w:p>
    <w:p>
      <w:pPr>
        <w:pStyle w:val="ListParagraph"/>
        <w:numPr>
          <w:ilvl w:val="0"/>
          <w:numId w:val="4"/>
        </w:numPr>
        <w:spacing w:after="60"/>
      </w:pPr>
      <w:hyperlink w:history="1" r:id="rIdsgegm064lfrjfz6iu9p4n">
        <w:r>
          <w:rPr>
            <w:rStyle w:val="Hyperlink"/>
            <w:rFonts w:ascii="Arial" w:cs="Arial" w:eastAsia="Arial" w:hAnsi="Arial"/>
            <w:sz w:val="20"/>
            <w:szCs w:val="20"/>
          </w:rPr>
          <w:t xml:space="preserve">Gebler et al., JMIR 2025 (e74976)</w:t>
        </w:r>
      </w:hyperlink>
    </w:p>
    <w:p>
      <w:pPr>
        <w:pStyle w:val="ListParagraph"/>
        <w:numPr>
          <w:ilvl w:val="0"/>
          <w:numId w:val="4"/>
        </w:numPr>
        <w:spacing w:after="60"/>
      </w:pPr>
      <w:hyperlink w:history="1" r:id="rIddo6k_l9exdcowb7pcs_qo">
        <w:r>
          <w:rPr>
            <w:rStyle w:val="Hyperlink"/>
            <w:rFonts w:ascii="Arial" w:cs="Arial" w:eastAsia="Arial" w:hAnsi="Arial"/>
            <w:sz w:val="20"/>
            <w:szCs w:val="20"/>
          </w:rPr>
          <w:t xml:space="preserve">AI Platform Architecture Systematic Review, JMIR 2025 (e79788)</w:t>
        </w:r>
      </w:hyperlink>
    </w:p>
    <w:p>
      <w:pPr>
        <w:pStyle w:val="ListParagraph"/>
        <w:numPr>
          <w:ilvl w:val="0"/>
          <w:numId w:val="4"/>
        </w:numPr>
        <w:spacing w:after="60"/>
      </w:pPr>
      <w:hyperlink w:history="1" r:id="rIdm85rpqwevgtqf8rwtudjl">
        <w:r>
          <w:rPr>
            <w:rStyle w:val="Hyperlink"/>
            <w:rFonts w:ascii="Arial" w:cs="Arial" w:eastAsia="Arial" w:hAnsi="Arial"/>
            <w:sz w:val="20"/>
            <w:szCs w:val="20"/>
          </w:rPr>
          <w:t xml:space="preserve">Clinical Data Quality, JMIR 2025 (e60709)</w:t>
        </w:r>
      </w:hyperlink>
    </w:p>
    <w:p>
      <w:pPr>
        <w:pStyle w:val="ListParagraph"/>
        <w:numPr>
          <w:ilvl w:val="0"/>
          <w:numId w:val="4"/>
        </w:numPr>
        <w:spacing w:after="60"/>
      </w:pPr>
      <w:hyperlink w:history="1" r:id="rIdjq0tka9k1cogy62kh3jx1">
        <w:r>
          <w:rPr>
            <w:rStyle w:val="Hyperlink"/>
            <w:rFonts w:ascii="Arial" w:cs="Arial" w:eastAsia="Arial" w:hAnsi="Arial"/>
            <w:sz w:val="20"/>
            <w:szCs w:val="20"/>
          </w:rPr>
          <w:t xml:space="preserve">Digital Health Research Infrastructure, JMIR 2024 (e58637)</w:t>
        </w:r>
      </w:hyperlink>
    </w:p>
    <w:p>
      <w:pPr>
        <w:pStyle w:val="ListParagraph"/>
        <w:numPr>
          <w:ilvl w:val="0"/>
          <w:numId w:val="4"/>
        </w:numPr>
        <w:spacing w:after="60"/>
      </w:pPr>
      <w:hyperlink w:history="1" r:id="rIds24azu2ih524uxeyumid2">
        <w:r>
          <w:rPr>
            <w:rStyle w:val="Hyperlink"/>
            <w:rFonts w:ascii="Arial" w:cs="Arial" w:eastAsia="Arial" w:hAnsi="Arial"/>
            <w:sz w:val="20"/>
            <w:szCs w:val="20"/>
          </w:rPr>
          <w:t xml:space="preserve">FHIR Implementations Scoping Review, JMIR Med Inform 2024 (e58445)</w:t>
        </w:r>
      </w:hyperlink>
    </w:p>
    <w:p>
      <w:pPr>
        <w:pStyle w:val="ListParagraph"/>
        <w:numPr>
          <w:ilvl w:val="0"/>
          <w:numId w:val="4"/>
        </w:numPr>
        <w:spacing w:after="60"/>
      </w:pPr>
      <w:hyperlink w:history="1" r:id="rIdcywnvxp_fptjvy-f9fsin">
        <w:r>
          <w:rPr>
            <w:rStyle w:val="Hyperlink"/>
            <w:rFonts w:ascii="Arial" w:cs="Arial" w:eastAsia="Arial" w:hAnsi="Arial"/>
            <w:sz w:val="20"/>
            <w:szCs w:val="20"/>
          </w:rPr>
          <w:t xml:space="preserve">MedSAM, Nature Communications 2024</w:t>
        </w:r>
      </w:hyperlink>
    </w:p>
    <w:p>
      <w:pPr>
        <w:pStyle w:val="ListParagraph"/>
        <w:numPr>
          <w:ilvl w:val="0"/>
          <w:numId w:val="4"/>
        </w:numPr>
        <w:spacing w:after="60"/>
      </w:pPr>
      <w:hyperlink w:history="1" r:id="rId4eakrpoe5qkznkkb7plcw">
        <w:r>
          <w:rPr>
            <w:rStyle w:val="Hyperlink"/>
            <w:rFonts w:ascii="Arial" w:cs="Arial" w:eastAsia="Arial" w:hAnsi="Arial"/>
            <w:sz w:val="20"/>
            <w:szCs w:val="20"/>
          </w:rPr>
          <w:t xml:space="preserve">Cardiac Sensing FM, Nature Machine Intelligence 2026</w:t>
        </w:r>
      </w:hyperlink>
    </w:p>
    <w:p>
      <w:pPr>
        <w:pStyle w:val="ListParagraph"/>
        <w:numPr>
          <w:ilvl w:val="0"/>
          <w:numId w:val="4"/>
        </w:numPr>
        <w:spacing w:after="60"/>
      </w:pPr>
      <w:hyperlink w:history="1" r:id="rId-fch18c7afr5tfmsoymq1">
        <w:r>
          <w:rPr>
            <w:rStyle w:val="Hyperlink"/>
            <w:rFonts w:ascii="Arial" w:cs="Arial" w:eastAsia="Arial" w:hAnsi="Arial"/>
            <w:sz w:val="20"/>
            <w:szCs w:val="20"/>
          </w:rPr>
          <w:t xml:space="preserve">AI + Interoperable Data, Nature Medicine 2024</w:t>
        </w:r>
      </w:hyperlink>
    </w:p>
    <w:p>
      <w:pPr>
        <w:pStyle w:val="ListParagraph"/>
        <w:numPr>
          <w:ilvl w:val="0"/>
          <w:numId w:val="4"/>
        </w:numPr>
        <w:spacing w:after="60"/>
      </w:pPr>
      <w:hyperlink w:history="1" r:id="rIdabxc5x7b5y7kmw5egfu4r">
        <w:r>
          <w:rPr>
            <w:rStyle w:val="Hyperlink"/>
            <w:rFonts w:ascii="Arial" w:cs="Arial" w:eastAsia="Arial" w:hAnsi="Arial"/>
            <w:sz w:val="20"/>
            <w:szCs w:val="20"/>
          </w:rPr>
          <w:t xml:space="preserve">Multimodal AI Adoption, Lancet Digital Health 2025</w:t>
        </w:r>
      </w:hyperlink>
    </w:p>
    <w:p>
      <w:pPr>
        <w:pStyle w:val="ListParagraph"/>
        <w:numPr>
          <w:ilvl w:val="0"/>
          <w:numId w:val="4"/>
        </w:numPr>
        <w:spacing w:after="60"/>
      </w:pPr>
      <w:hyperlink w:history="1" r:id="rIdcixklw2pmuo5ta7zjeihs">
        <w:r>
          <w:rPr>
            <w:rStyle w:val="Hyperlink"/>
            <w:rFonts w:ascii="Arial" w:cs="Arial" w:eastAsia="Arial" w:hAnsi="Arial"/>
            <w:sz w:val="20"/>
            <w:szCs w:val="20"/>
          </w:rPr>
          <w:t xml:space="preserve">Federated Learning UK Hospitals, Lancet Digital Health 2023</w:t>
        </w:r>
      </w:hyperlink>
    </w:p>
    <w:p>
      <w:pPr>
        <w:pStyle w:val="ListParagraph"/>
        <w:numPr>
          <w:ilvl w:val="0"/>
          <w:numId w:val="4"/>
        </w:numPr>
        <w:spacing w:after="60"/>
      </w:pPr>
      <w:hyperlink w:history="1" r:id="rIdkbdxum8u2q3vmuvwog6vz">
        <w:r>
          <w:rPr>
            <w:rStyle w:val="Hyperlink"/>
            <w:rFonts w:ascii="Arial" w:cs="Arial" w:eastAsia="Arial" w:hAnsi="Arial"/>
            <w:sz w:val="20"/>
            <w:szCs w:val="20"/>
          </w:rPr>
          <w:t xml:space="preserve">Common Data Models Systematic Review, PMC 2025</w:t>
        </w:r>
      </w:hyperlink>
    </w:p>
    <w:p>
      <w:pPr>
        <w:pStyle w:val="ListParagraph"/>
        <w:numPr>
          <w:ilvl w:val="0"/>
          <w:numId w:val="4"/>
        </w:numPr>
        <w:spacing w:after="60"/>
      </w:pPr>
      <w:hyperlink w:history="1" r:id="rIdplx7mt2mbgr6ln2t7dbky">
        <w:r>
          <w:rPr>
            <w:rStyle w:val="Hyperlink"/>
            <w:rFonts w:ascii="Arial" w:cs="Arial" w:eastAsia="Arial" w:hAnsi="Arial"/>
            <w:sz w:val="20"/>
            <w:szCs w:val="20"/>
          </w:rPr>
          <w:t xml:space="preserve">OMOP-on-FHIR Integration, PubMed 2025</w:t>
        </w:r>
      </w:hyperlink>
    </w:p>
    <w:p>
      <w:pPr>
        <w:pStyle w:val="ListParagraph"/>
        <w:numPr>
          <w:ilvl w:val="0"/>
          <w:numId w:val="4"/>
        </w:numPr>
        <w:spacing w:after="60"/>
      </w:pPr>
      <w:hyperlink w:history="1" r:id="rIdxqpqer6aiv4hgtxlwb-im">
        <w:r>
          <w:rPr>
            <w:rStyle w:val="Hyperlink"/>
            <w:rFonts w:ascii="Arial" w:cs="Arial" w:eastAsia="Arial" w:hAnsi="Arial"/>
            <w:sz w:val="20"/>
            <w:szCs w:val="20"/>
          </w:rPr>
          <w:t xml:space="preserve">Bidirectional FHIR-OMOP via TermX, PMC 2025</w:t>
        </w:r>
      </w:hyperlink>
    </w:p>
    <w:p>
      <w:pPr>
        <w:pStyle w:val="ListParagraph"/>
        <w:numPr>
          <w:ilvl w:val="0"/>
          <w:numId w:val="4"/>
        </w:numPr>
        <w:spacing w:after="60"/>
      </w:pPr>
      <w:hyperlink w:history="1" r:id="rId-m1xqejqdbbjo3otqs-a-">
        <w:r>
          <w:rPr>
            <w:rStyle w:val="Hyperlink"/>
            <w:rFonts w:ascii="Arial" w:cs="Arial" w:eastAsia="Arial" w:hAnsi="Arial"/>
            <w:sz w:val="20"/>
            <w:szCs w:val="20"/>
          </w:rPr>
          <w:t xml:space="preserve">Healthcare AI Year in Review, medRxiv 2025</w:t>
        </w:r>
      </w:hyperlink>
    </w:p>
    <w:p>
      <w:pPr>
        <w:pStyle w:val="Heading2"/>
        <w:spacing w:after="160" w:before="280"/>
      </w:pPr>
      <w:r>
        <w:rPr>
          <w:rFonts w:ascii="Arial" w:cs="Arial" w:eastAsia="Arial" w:hAnsi="Arial"/>
          <w:b/>
          <w:bCs/>
          <w:color w:val="2E86C1"/>
          <w:sz w:val="28"/>
          <w:szCs w:val="28"/>
        </w:rPr>
        <w:t xml:space="preserve">9.2 Industry &amp; Standards Sources</w:t>
      </w:r>
    </w:p>
    <w:p>
      <w:pPr>
        <w:pStyle w:val="ListParagraph"/>
        <w:numPr>
          <w:ilvl w:val="0"/>
          <w:numId w:val="4"/>
        </w:numPr>
        <w:spacing w:after="60"/>
      </w:pPr>
      <w:hyperlink w:history="1" r:id="rIdcendwzkb65n_afxrrprgw">
        <w:r>
          <w:rPr>
            <w:rStyle w:val="Hyperlink"/>
            <w:rFonts w:ascii="Arial" w:cs="Arial" w:eastAsia="Arial" w:hAnsi="Arial"/>
            <w:sz w:val="20"/>
            <w:szCs w:val="20"/>
          </w:rPr>
          <w:t xml:space="preserve">McKinsey: Healthcare AI Modular Architecture</w:t>
        </w:r>
      </w:hyperlink>
    </w:p>
    <w:p>
      <w:pPr>
        <w:pStyle w:val="ListParagraph"/>
        <w:numPr>
          <w:ilvl w:val="0"/>
          <w:numId w:val="4"/>
        </w:numPr>
        <w:spacing w:after="60"/>
      </w:pPr>
      <w:hyperlink w:history="1" r:id="rIdhrxwdtz0hv8odhfqyjuiu">
        <w:r>
          <w:rPr>
            <w:rStyle w:val="Hyperlink"/>
            <w:rFonts w:ascii="Arial" w:cs="Arial" w:eastAsia="Arial" w:hAnsi="Arial"/>
            <w:sz w:val="20"/>
            <w:szCs w:val="20"/>
          </w:rPr>
          <w:t xml:space="preserve">World Economic Forum: AI Healthcare Data Architecture</w:t>
        </w:r>
      </w:hyperlink>
    </w:p>
    <w:p>
      <w:pPr>
        <w:pStyle w:val="ListParagraph"/>
        <w:numPr>
          <w:ilvl w:val="0"/>
          <w:numId w:val="4"/>
        </w:numPr>
        <w:spacing w:after="60"/>
      </w:pPr>
      <w:hyperlink w:history="1" r:id="rIdw1lnfeohs2r2a7hdf0_rd">
        <w:r>
          <w:rPr>
            <w:rStyle w:val="Hyperlink"/>
            <w:rFonts w:ascii="Arial" w:cs="Arial" w:eastAsia="Arial" w:hAnsi="Arial"/>
            <w:sz w:val="20"/>
            <w:szCs w:val="20"/>
          </w:rPr>
          <w:t xml:space="preserve">State of FHIR 2025 Survey (Firely)</w:t>
        </w:r>
      </w:hyperlink>
    </w:p>
    <w:p>
      <w:pPr>
        <w:pStyle w:val="ListParagraph"/>
        <w:numPr>
          <w:ilvl w:val="0"/>
          <w:numId w:val="4"/>
        </w:numPr>
        <w:spacing w:after="60"/>
      </w:pPr>
      <w:hyperlink w:history="1" r:id="rIdle97wybsbfkuqcxdnsb9e">
        <w:r>
          <w:rPr>
            <w:rStyle w:val="Hyperlink"/>
            <w:rFonts w:ascii="Arial" w:cs="Arial" w:eastAsia="Arial" w:hAnsi="Arial"/>
            <w:sz w:val="20"/>
            <w:szCs w:val="20"/>
          </w:rPr>
          <w:t xml:space="preserve">FHIR-to-OMOP Implementation Guide (HL7)</w:t>
        </w:r>
      </w:hyperlink>
    </w:p>
    <w:p>
      <w:pPr>
        <w:pStyle w:val="ListParagraph"/>
        <w:numPr>
          <w:ilvl w:val="0"/>
          <w:numId w:val="4"/>
        </w:numPr>
        <w:spacing w:after="60"/>
      </w:pPr>
      <w:hyperlink w:history="1" r:id="rIdjjugpb1u3fajpklnum0ho">
        <w:r>
          <w:rPr>
            <w:rStyle w:val="Hyperlink"/>
            <w:rFonts w:ascii="Arial" w:cs="Arial" w:eastAsia="Arial" w:hAnsi="Arial"/>
            <w:sz w:val="20"/>
            <w:szCs w:val="20"/>
          </w:rPr>
          <w:t xml:space="preserve">USCDI Specification Platform (ONC)</w:t>
        </w:r>
      </w:hyperlink>
    </w:p>
    <w:p>
      <w:pPr>
        <w:pStyle w:val="ListParagraph"/>
        <w:numPr>
          <w:ilvl w:val="0"/>
          <w:numId w:val="4"/>
        </w:numPr>
        <w:spacing w:after="60"/>
      </w:pPr>
      <w:hyperlink w:history="1" r:id="rIdejg6gzk1y8uhb00egwuin">
        <w:r>
          <w:rPr>
            <w:rStyle w:val="Hyperlink"/>
            <w:rFonts w:ascii="Arial" w:cs="Arial" w:eastAsia="Arial" w:hAnsi="Arial"/>
            <w:sz w:val="20"/>
            <w:szCs w:val="20"/>
          </w:rPr>
          <w:t xml:space="preserve">HTI-1 Final Rule (HealthIT.gov)</w:t>
        </w:r>
      </w:hyperlink>
    </w:p>
    <w:p>
      <w:pPr>
        <w:pStyle w:val="ListParagraph"/>
        <w:numPr>
          <w:ilvl w:val="0"/>
          <w:numId w:val="4"/>
        </w:numPr>
        <w:spacing w:after="60"/>
      </w:pPr>
      <w:hyperlink w:history="1" r:id="rIdvelj-v5p3et_ykfrc418c">
        <w:r>
          <w:rPr>
            <w:rStyle w:val="Hyperlink"/>
            <w:rFonts w:ascii="Arial" w:cs="Arial" w:eastAsia="Arial" w:hAnsi="Arial"/>
            <w:sz w:val="20"/>
            <w:szCs w:val="20"/>
          </w:rPr>
          <w:t xml:space="preserve">CMS Interoperability Final Rule</w:t>
        </w:r>
      </w:hyperlink>
    </w:p>
    <w:p>
      <w:pPr>
        <w:pStyle w:val="ListParagraph"/>
        <w:numPr>
          <w:ilvl w:val="0"/>
          <w:numId w:val="4"/>
        </w:numPr>
        <w:spacing w:after="60"/>
      </w:pPr>
      <w:hyperlink w:history="1" r:id="rIdjrkefazujwowvs_jgxazl">
        <w:r>
          <w:rPr>
            <w:rStyle w:val="Hyperlink"/>
            <w:rFonts w:ascii="Arial" w:cs="Arial" w:eastAsia="Arial" w:hAnsi="Arial"/>
            <w:sz w:val="20"/>
            <w:szCs w:val="20"/>
          </w:rPr>
          <w:t xml:space="preserve">EU EHDS Regulation</w:t>
        </w:r>
      </w:hyperlink>
    </w:p>
    <w:p>
      <w:pPr>
        <w:pStyle w:val="ListParagraph"/>
        <w:numPr>
          <w:ilvl w:val="0"/>
          <w:numId w:val="4"/>
        </w:numPr>
        <w:spacing w:after="60"/>
      </w:pPr>
      <w:hyperlink w:history="1" r:id="rIdxdogqlupi-zcf0kbg-qzq">
        <w:r>
          <w:rPr>
            <w:rStyle w:val="Hyperlink"/>
            <w:rFonts w:ascii="Arial" w:cs="Arial" w:eastAsia="Arial" w:hAnsi="Arial"/>
            <w:sz w:val="20"/>
            <w:szCs w:val="20"/>
          </w:rPr>
          <w:t xml:space="preserve">Brazilian IPS Implementation (Oxford Open Digital Health)</w:t>
        </w:r>
      </w:hyperlink>
    </w:p>
    <w:p>
      <w:pPr>
        <w:pStyle w:val="ListParagraph"/>
        <w:numPr>
          <w:ilvl w:val="0"/>
          <w:numId w:val="4"/>
        </w:numPr>
        <w:spacing w:after="60"/>
      </w:pPr>
      <w:hyperlink w:history="1" r:id="rId5ap_12qkqb1z6qhdrdftw">
        <w:r>
          <w:rPr>
            <w:rStyle w:val="Hyperlink"/>
            <w:rFonts w:ascii="Arial" w:cs="Arial" w:eastAsia="Arial" w:hAnsi="Arial"/>
            <w:sz w:val="20"/>
            <w:szCs w:val="20"/>
          </w:rPr>
          <w:t xml:space="preserve">LGPD &amp; Health Data (IBA)</w:t>
        </w:r>
      </w:hyperlink>
    </w:p>
    <w:p>
      <w:pPr>
        <w:pStyle w:val="ListParagraph"/>
        <w:numPr>
          <w:ilvl w:val="0"/>
          <w:numId w:val="4"/>
        </w:numPr>
        <w:spacing w:after="60"/>
      </w:pPr>
      <w:hyperlink w:history="1" r:id="rIdvbxxkkrhww1vsh-ywtplv">
        <w:r>
          <w:rPr>
            <w:rStyle w:val="Hyperlink"/>
            <w:rFonts w:ascii="Arial" w:cs="Arial" w:eastAsia="Arial" w:hAnsi="Arial"/>
            <w:sz w:val="20"/>
            <w:szCs w:val="20"/>
          </w:rPr>
          <w:t xml:space="preserve">NVIDIA FLARE Documentation</w:t>
        </w:r>
      </w:hyperlink>
    </w:p>
    <w:p>
      <w:pPr>
        <w:pStyle w:val="ListParagraph"/>
        <w:numPr>
          <w:ilvl w:val="0"/>
          <w:numId w:val="4"/>
        </w:numPr>
        <w:spacing w:after="60"/>
      </w:pPr>
      <w:hyperlink w:history="1" r:id="rId8hmac4-ivfiorz-icsuop">
        <w:r>
          <w:rPr>
            <w:rStyle w:val="Hyperlink"/>
            <w:rFonts w:ascii="Arial" w:cs="Arial" w:eastAsia="Arial" w:hAnsi="Arial"/>
            <w:sz w:val="20"/>
            <w:szCs w:val="20"/>
          </w:rPr>
          <w:t xml:space="preserve">OHDSI Software Tools</w:t>
        </w:r>
      </w:hyperlink>
    </w:p>
    <w:p>
      <w:pPr>
        <w:pStyle w:val="ListParagraph"/>
        <w:numPr>
          <w:ilvl w:val="0"/>
          <w:numId w:val="4"/>
        </w:numPr>
        <w:spacing w:after="60"/>
      </w:pPr>
      <w:hyperlink w:history="1" r:id="rIdnijqykebnevaqxgqbplwu">
        <w:r>
          <w:rPr>
            <w:rStyle w:val="Hyperlink"/>
            <w:rFonts w:ascii="Arial" w:cs="Arial" w:eastAsia="Arial" w:hAnsi="Arial"/>
            <w:sz w:val="20"/>
            <w:szCs w:val="20"/>
          </w:rPr>
          <w:t xml:space="preserve">AWS HealthLake Documentation</w:t>
        </w:r>
      </w:hyperlink>
    </w:p>
    <w:p>
      <w:pPr>
        <w:pStyle w:val="Heading2"/>
        <w:spacing w:after="160" w:before="280"/>
      </w:pPr>
      <w:r>
        <w:rPr>
          <w:rFonts w:ascii="Arial" w:cs="Arial" w:eastAsia="Arial" w:hAnsi="Arial"/>
          <w:b/>
          <w:bCs/>
          <w:color w:val="2E86C1"/>
          <w:sz w:val="28"/>
          <w:szCs w:val="28"/>
        </w:rPr>
        <w:t xml:space="preserve">9.3 Startup &amp; Venture Sources</w:t>
      </w:r>
    </w:p>
    <w:p>
      <w:pPr>
        <w:pStyle w:val="ListParagraph"/>
        <w:numPr>
          <w:ilvl w:val="0"/>
          <w:numId w:val="4"/>
        </w:numPr>
        <w:spacing w:after="60"/>
      </w:pPr>
      <w:hyperlink w:history="1" r:id="rIdbanlr7nu1-kgokobtlyyl">
        <w:r>
          <w:rPr>
            <w:rStyle w:val="Hyperlink"/>
            <w:rFonts w:ascii="Arial" w:cs="Arial" w:eastAsia="Arial" w:hAnsi="Arial"/>
            <w:sz w:val="20"/>
            <w:szCs w:val="20"/>
          </w:rPr>
          <w:t xml:space="preserve">Tempus AI 2025 Financial Results</w:t>
        </w:r>
      </w:hyperlink>
    </w:p>
    <w:p>
      <w:pPr>
        <w:pStyle w:val="ListParagraph"/>
        <w:numPr>
          <w:ilvl w:val="0"/>
          <w:numId w:val="4"/>
        </w:numPr>
        <w:spacing w:after="60"/>
      </w:pPr>
      <w:hyperlink w:history="1" r:id="rIdojf7pktt38cuz4ogp3778">
        <w:r>
          <w:rPr>
            <w:rStyle w:val="Hyperlink"/>
            <w:rFonts w:ascii="Arial" w:cs="Arial" w:eastAsia="Arial" w:hAnsi="Arial"/>
            <w:sz w:val="20"/>
            <w:szCs w:val="20"/>
          </w:rPr>
          <w:t xml:space="preserve">Abridge $300M Series E</w:t>
        </w:r>
      </w:hyperlink>
    </w:p>
    <w:p>
      <w:pPr>
        <w:pStyle w:val="ListParagraph"/>
        <w:numPr>
          <w:ilvl w:val="0"/>
          <w:numId w:val="4"/>
        </w:numPr>
        <w:spacing w:after="60"/>
      </w:pPr>
      <w:hyperlink w:history="1" r:id="rIdqyefrta8-ixky--xtn3gf">
        <w:r>
          <w:rPr>
            <w:rStyle w:val="Hyperlink"/>
            <w:rFonts w:ascii="Arial" w:cs="Arial" w:eastAsia="Arial" w:hAnsi="Arial"/>
            <w:sz w:val="20"/>
            <w:szCs w:val="20"/>
          </w:rPr>
          <w:t xml:space="preserve">Hippocratic AI $126M Series C</w:t>
        </w:r>
      </w:hyperlink>
    </w:p>
    <w:p>
      <w:pPr>
        <w:pStyle w:val="ListParagraph"/>
        <w:numPr>
          <w:ilvl w:val="0"/>
          <w:numId w:val="4"/>
        </w:numPr>
        <w:spacing w:after="60"/>
      </w:pPr>
      <w:hyperlink w:history="1" r:id="rIdeeksrxgeth6k8vvwcwkgn">
        <w:r>
          <w:rPr>
            <w:rStyle w:val="Hyperlink"/>
            <w:rFonts w:ascii="Arial" w:cs="Arial" w:eastAsia="Arial" w:hAnsi="Arial"/>
            <w:sz w:val="20"/>
            <w:szCs w:val="20"/>
          </w:rPr>
          <w:t xml:space="preserve">Ambience Healthcare $243M Series C</w:t>
        </w:r>
      </w:hyperlink>
    </w:p>
    <w:p>
      <w:pPr>
        <w:pStyle w:val="ListParagraph"/>
        <w:numPr>
          <w:ilvl w:val="0"/>
          <w:numId w:val="4"/>
        </w:numPr>
        <w:spacing w:after="60"/>
      </w:pPr>
      <w:hyperlink w:history="1" r:id="rId3muueirbcurmuvhnoghiv">
        <w:r>
          <w:rPr>
            <w:rStyle w:val="Hyperlink"/>
            <w:rFonts w:ascii="Arial" w:cs="Arial" w:eastAsia="Arial" w:hAnsi="Arial"/>
            <w:sz w:val="20"/>
            <w:szCs w:val="20"/>
          </w:rPr>
          <w:t xml:space="preserve">Olive AI Shutdown</w:t>
        </w:r>
      </w:hyperlink>
    </w:p>
    <w:p>
      <w:pPr>
        <w:pStyle w:val="ListParagraph"/>
        <w:numPr>
          <w:ilvl w:val="0"/>
          <w:numId w:val="4"/>
        </w:numPr>
        <w:spacing w:after="60"/>
      </w:pPr>
      <w:hyperlink w:history="1" r:id="rIdqpkbxow7sdbjy-r_9kpjf">
        <w:r>
          <w:rPr>
            <w:rStyle w:val="Hyperlink"/>
            <w:rFonts w:ascii="Arial" w:cs="Arial" w:eastAsia="Arial" w:hAnsi="Arial"/>
            <w:sz w:val="20"/>
            <w:szCs w:val="20"/>
          </w:rPr>
          <w:t xml:space="preserve">Cleerly $106M Series C</w:t>
        </w:r>
      </w:hyperlink>
    </w:p>
    <w:p>
      <w:pPr>
        <w:pStyle w:val="ListParagraph"/>
        <w:numPr>
          <w:ilvl w:val="0"/>
          <w:numId w:val="4"/>
        </w:numPr>
        <w:spacing w:after="60"/>
      </w:pPr>
      <w:hyperlink w:history="1" r:id="rIdoqbvxctthv2aprign8udn">
        <w:r>
          <w:rPr>
            <w:rStyle w:val="Hyperlink"/>
            <w:rFonts w:ascii="Arial" w:cs="Arial" w:eastAsia="Arial" w:hAnsi="Arial"/>
            <w:sz w:val="20"/>
            <w:szCs w:val="20"/>
          </w:rPr>
          <w:t xml:space="preserve">Oracle Health New EHR Launch</w:t>
        </w:r>
      </w:hyperlink>
    </w:p>
    <w:p>
      <w:pPr>
        <w:pStyle w:val="ListParagraph"/>
        <w:numPr>
          <w:ilvl w:val="0"/>
          <w:numId w:val="4"/>
        </w:numPr>
        <w:spacing w:after="60"/>
      </w:pPr>
      <w:hyperlink w:history="1" r:id="rIdehcsqxqcakzaph0eq1web">
        <w:r>
          <w:rPr>
            <w:rStyle w:val="Hyperlink"/>
            <w:rFonts w:ascii="Arial" w:cs="Arial" w:eastAsia="Arial" w:hAnsi="Arial"/>
            <w:sz w:val="20"/>
            <w:szCs w:val="20"/>
          </w:rPr>
          <w:t xml:space="preserve">Microsoft Nuance Healthcare AI</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8"/>
        <w:szCs w:val="18"/>
      </w:rPr>
      <w:t xml:space="preserve">Confidential | March 2026</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i/>
        <w:iCs/>
        <w:color w:val="999999"/>
        <w:sz w:val="18"/>
        <w:szCs w:val="18"/>
      </w:rPr>
      <w:t xml:space="preserve">Health 3.0 Data Architecture Deep Research | Holi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gegm064lfrjfz6iu9p4n" Type="http://schemas.openxmlformats.org/officeDocument/2006/relationships/hyperlink" Target="https://www.jmir.org/2025/1/e74976" TargetMode="External"/><Relationship Id="rIddo6k_l9exdcowb7pcs_qo" Type="http://schemas.openxmlformats.org/officeDocument/2006/relationships/hyperlink" Target="https://www.jmir.org/2025/1/e79788" TargetMode="External"/><Relationship Id="rIdm85rpqwevgtqf8rwtudjl" Type="http://schemas.openxmlformats.org/officeDocument/2006/relationships/hyperlink" Target="https://www.jmir.org/2025/1/e60709/" TargetMode="External"/><Relationship Id="rIdjq0tka9k1cogy62kh3jx1" Type="http://schemas.openxmlformats.org/officeDocument/2006/relationships/hyperlink" Target="https://www.jmir.org/2024/1/e58637" TargetMode="External"/><Relationship Id="rIds24azu2ih524uxeyumid2" Type="http://schemas.openxmlformats.org/officeDocument/2006/relationships/hyperlink" Target="https://medinform.jmir.org/2024/1/e58445" TargetMode="External"/><Relationship Id="rIdcywnvxp_fptjvy-f9fsin" Type="http://schemas.openxmlformats.org/officeDocument/2006/relationships/hyperlink" Target="https://github.com/bowang-lab/MedSAM" TargetMode="External"/><Relationship Id="rId4eakrpoe5qkznkkb7plcw" Type="http://schemas.openxmlformats.org/officeDocument/2006/relationships/hyperlink" Target="https://www.nature.com/articles/s42256-026-01180-5" TargetMode="External"/><Relationship Id="rId-fch18c7afr5tfmsoymq1" Type="http://schemas.openxmlformats.org/officeDocument/2006/relationships/hyperlink" Target="https://www.nature.com/articles/s41591-023-02783-w" TargetMode="External"/><Relationship Id="rIdabxc5x7b5y7kmw5egfu4r" Type="http://schemas.openxmlformats.org/officeDocument/2006/relationships/hyperlink" Target="https://www.thelancet.com/journals/landig/article/PIIS2589-7500(25)00099-8/fulltext" TargetMode="External"/><Relationship Id="rIdcixklw2pmuo5ta7zjeihs" Type="http://schemas.openxmlformats.org/officeDocument/2006/relationships/hyperlink" Target="https://www.thelancet.com/journals/landig/article/PIIS2589-7500(23)00226-1/fulltext" TargetMode="External"/><Relationship Id="rIdkbdxum8u2q3vmuvwog6vz" Type="http://schemas.openxmlformats.org/officeDocument/2006/relationships/hyperlink" Target="https://pmc.ncbi.nlm.nih.gov/articles/PMC12616946/" TargetMode="External"/><Relationship Id="rIdplx7mt2mbgr6ln2t7dbky" Type="http://schemas.openxmlformats.org/officeDocument/2006/relationships/hyperlink" Target="https://pubmed.ncbi.nlm.nih.gov/40380541/" TargetMode="External"/><Relationship Id="rIdxqpqer6aiv4hgtxlwb-im" Type="http://schemas.openxmlformats.org/officeDocument/2006/relationships/hyperlink" Target="https://pmc.ncbi.nlm.nih.gov/articles/PMC12935678/" TargetMode="External"/><Relationship Id="rId-m1xqejqdbbjo3otqs-a-" Type="http://schemas.openxmlformats.org/officeDocument/2006/relationships/hyperlink" Target="https://www.medrxiv.org/content/10.1101/2025.02.26.25322978v2" TargetMode="External"/><Relationship Id="rIdcendwzkb65n_afxrrprgw" Type="http://schemas.openxmlformats.org/officeDocument/2006/relationships/hyperlink" Target="https://www.mckinsey.com/industries/healthcare/our-insights/the-coming-evolution-of-healthcare-ai-toward-a-modular-architecture" TargetMode="External"/><Relationship Id="rIdhrxwdtz0hv8odhfqyjuiu" Type="http://schemas.openxmlformats.org/officeDocument/2006/relationships/hyperlink" Target="https://www.weforum.org/stories/2026/01/ai-healthcare-data-architecture/" TargetMode="External"/><Relationship Id="rIdw1lnfeohs2r2a7hdf0_rd" Type="http://schemas.openxmlformats.org/officeDocument/2006/relationships/hyperlink" Target="https://fire.ly/blog/the-state-of-fhir-in-2025/" TargetMode="External"/><Relationship Id="rIdle97wybsbfkuqcxdnsb9e" Type="http://schemas.openxmlformats.org/officeDocument/2006/relationships/hyperlink" Target="https://build.fhir.org/ig/HL7/fhir-omop-ig/" TargetMode="External"/><Relationship Id="rIdjjugpb1u3fajpklnum0ho" Type="http://schemas.openxmlformats.org/officeDocument/2006/relationships/hyperlink" Target="https://isp.healthit.gov/united-states-core-data-interoperability-uscdi" TargetMode="External"/><Relationship Id="rIdejg6gzk1y8uhb00egwuin" Type="http://schemas.openxmlformats.org/officeDocument/2006/relationships/hyperlink" Target="https://www.healthit.gov/topic/laws-regulation-and-policy/health-data-technology-and-interoperability-certification-program" TargetMode="External"/><Relationship Id="rIdvelj-v5p3et_ykfrc418c" Type="http://schemas.openxmlformats.org/officeDocument/2006/relationships/hyperlink" Target="https://www.cms.gov/cms-interoperability-and-prior-authorization-final-rule-cms-0057-f" TargetMode="External"/><Relationship Id="rIdjrkefazujwowvs_jgxazl" Type="http://schemas.openxmlformats.org/officeDocument/2006/relationships/hyperlink" Target="https://health.ec.europa.eu/ehealth-digital-health-and-care/european-health-data-space-regulation-ehds_en" TargetMode="External"/><Relationship Id="rIdxdogqlupi-zcf0kbg-qzq" Type="http://schemas.openxmlformats.org/officeDocument/2006/relationships/hyperlink" Target="https://academic.oup.com/oodh/article/doi/10.1093/oodh/oqae015/7667343" TargetMode="External"/><Relationship Id="rId5ap_12qkqb1z6qhdrdftw" Type="http://schemas.openxmlformats.org/officeDocument/2006/relationships/hyperlink" Target="https://www.ibanet.org/protections-health-data-brazilds" TargetMode="External"/><Relationship Id="rIdvbxxkkrhww1vsh-ywtplv" Type="http://schemas.openxmlformats.org/officeDocument/2006/relationships/hyperlink" Target="https://nvflare.readthedocs.io/en/main/publications_and_talks.html" TargetMode="External"/><Relationship Id="rId8hmac4-ivfiorz-icsuop" Type="http://schemas.openxmlformats.org/officeDocument/2006/relationships/hyperlink" Target="https://www.ohdsi.org/software-tools/" TargetMode="External"/><Relationship Id="rIdnijqykebnevaqxgqbplwu" Type="http://schemas.openxmlformats.org/officeDocument/2006/relationships/hyperlink" Target="https://aws.amazon.com/blogs/industries/fast-tracking-the-healthcare-ai-roadmap-aws-health-data-accelerator/" TargetMode="External"/><Relationship Id="rIdbanlr7nu1-kgokobtlyyl" Type="http://schemas.openxmlformats.org/officeDocument/2006/relationships/hyperlink" Target="https://www.businesswire.com/news/home/20260224126737/en/Tempus-Reports-Fourth-Quarter-and-Full-Year-2025-Results" TargetMode="External"/><Relationship Id="rIdojf7pktt38cuz4ogp3778" Type="http://schemas.openxmlformats.org/officeDocument/2006/relationships/hyperlink" Target="https://www.fiercehealthcare.com/ai-and-machine-learning/ambient-ai-startup-abridge-scores-300m-series-e-backed-a16z-and-khosla" TargetMode="External"/><Relationship Id="rIdqyefrta8-ixky--xtn3gf" Type="http://schemas.openxmlformats.org/officeDocument/2006/relationships/hyperlink" Target="https://www.fiercehealthcare.com/ai-and-machine-learning/hippocratic-ai-lands-126m-series-c-expand-patient-facing-ai-agents-fuel-acquisition-deals" TargetMode="External"/><Relationship Id="rIdeeksrxgeth6k8vvwcwkgn" Type="http://schemas.openxmlformats.org/officeDocument/2006/relationships/hyperlink" Target="https://www.ambiencehealthcare.com/blog/ambience-healthcare-announces-243-million-series-c-to-scale-its-ai-platform-for-health-systems" TargetMode="External"/><Relationship Id="rId3muueirbcurmuvhnoghiv" Type="http://schemas.openxmlformats.org/officeDocument/2006/relationships/hyperlink" Target="https://www.healthcaredive.com/news/olive-ai-shuts-down/698455/" TargetMode="External"/><Relationship Id="rIdqpkbxow7sdbjy-r_9kpjf" Type="http://schemas.openxmlformats.org/officeDocument/2006/relationships/hyperlink" Target="https://www.prnewswire.com/news-releases/cleerly-raises-106-million-in-funding-led-by-insight-partners-to-revolutionize-heart-disease-care-302321766.html" TargetMode="External"/><Relationship Id="rIdoqbvxctthv2aprign8udn" Type="http://schemas.openxmlformats.org/officeDocument/2006/relationships/hyperlink" Target="https://www.healthcaredive.com/news/oracle-new-ai-backed-ehr-2025/731398/" TargetMode="External"/><Relationship Id="rIdehcsqxqcakzaph0eq1web" Type="http://schemas.openxmlformats.org/officeDocument/2006/relationships/hyperlink" Target="https://techcommunity.microsoft.com/blog/healthcareandlifesciencesblog/highlights-from-ignite-2025-how-agentic-ai-and-microsoft-copilot-are-empowering-healthcare-/4474658"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2026-03-18T15:32:46.281Z</dcterms:created>
  <dcterms:modified xsi:type="dcterms:W3CDTF">2026-03-18T15:32:46.281Z</dcterms:modified>
</cp:coreProperties>
</file>

<file path=docProps/custom.xml><?xml version="1.0" encoding="utf-8"?>
<Properties xmlns="http://schemas.openxmlformats.org/officeDocument/2006/custom-properties" xmlns:vt="http://schemas.openxmlformats.org/officeDocument/2006/docPropsVTypes"/>
</file>