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Washington D.C.'s Certificate of Need Laws: How Regulatory Capture Costs Patients Billions</w:t>
      </w:r>
    </w:p>
    <w:p>
      <w:pPr>
        <w:spacing w:before="200" w:after="200"/>
      </w:pPr>
      <w:r>
        <w:rPr>
          <w:b/>
          <w:bCs/>
          <w:sz w:val="28"/>
          <w:szCs w:val="28"/>
        </w:rPr>
        <w:t xml:space="preserve">Executive Summary</w:t>
      </w:r>
    </w:p>
    <w:p>
      <w:pPr>
        <w:spacing w:after="120"/>
      </w:pPr>
      <w:r>
        <w:t xml:space="preserve">Washington D.C. operates the most restrictive Certificate of Need (CON) program in America, tied with only one other jurisdiction for the dubious distinction of scoring 25 out of 25 points on the Cicero Institute's restrictiveness scale. This regulatory framework, ostensibly designed to control healthcare costs, has achieved the opposite: it has entrenched market dominance by nonprofit hospital systems, eliminated competition from independent physicians, and created a healthcare cartel that operates with impunity in the nation's capital.</w:t>
      </w:r>
    </w:p>
    <w:p>
      <w:pPr>
        <w:spacing w:after="200"/>
      </w:pPr>
      <w:r>
        <w:t xml:space="preserve">The evidence is damning. MedStar Health, D.C.'s dominant nonprofit hospital system, generated $7.8 billion in revenue and $186 million in operating earnings in fiscal year 2023, while benefiting from hundreds of millions in tax exemptions, 340B drug pricing advantages, and Graduate Medical Education subsidies. Meanwhile, independent physicians are systematically excluded from the market through CON barriers that require government approval for any hospital-related capital expenditure exceeding $6 million.</w:t>
      </w:r>
    </w:p>
    <w:p>
      <w:pPr>
        <w:pStyle w:val="Heading1"/>
      </w:pPr>
      <w:r>
        <w:t xml:space="preserve">The Mechanics of Market Control</w:t>
      </w:r>
    </w:p>
    <w:p>
      <w:pPr>
        <w:spacing w:after="120"/>
      </w:pPr>
      <w:r>
        <w:t xml:space="preserve">D.C.'s CON program operates as a permission slip system for healthcare entrepreneurship. Before any provider can open a new facility, expand services, add beds, purchase major equipment, or invest in capital improvements, they must first obtain approval from government bureaucrats. The system covers 25 broad categories and more than 30 specific service lines, creating a regulatory maze that incumbent hospitals navigate with ease while independent physicians face insurmountable barriers.</w:t>
      </w:r>
    </w:p>
    <w:p>
      <w:pPr>
        <w:spacing w:before="200" w:after="120"/>
      </w:pPr>
      <w:r>
        <w:rPr>
          <w:b/>
          <w:bCs/>
        </w:rPr>
        <w:t xml:space="preserve">What Requires a CON in Washington D.C.:</w:t>
      </w:r>
    </w:p>
    <w:p>
      <w:pPr>
        <w:pStyle w:val="ListParagraph"/>
        <w:numPr>
          <w:ilvl w:val="0"/>
          <w:numId w:val="2"/>
        </w:numPr>
      </w:pPr>
      <w:r>
        <w:t xml:space="preserve">Any new hospital or health care facility</w:t>
      </w:r>
    </w:p>
    <w:p>
      <w:pPr>
        <w:pStyle w:val="ListParagraph"/>
        <w:numPr>
          <w:ilvl w:val="0"/>
          <w:numId w:val="2"/>
        </w:numPr>
      </w:pPr>
      <w:r>
        <w:t xml:space="preserve">Addition of any hospital beds</w:t>
      </w:r>
    </w:p>
    <w:p>
      <w:pPr>
        <w:pStyle w:val="ListParagraph"/>
        <w:numPr>
          <w:ilvl w:val="0"/>
          <w:numId w:val="2"/>
        </w:numPr>
      </w:pPr>
      <w:r>
        <w:t xml:space="preserve">Capital expenditures exceeding $6 million</w:t>
      </w:r>
    </w:p>
    <w:p>
      <w:pPr>
        <w:pStyle w:val="ListParagraph"/>
        <w:numPr>
          <w:ilvl w:val="0"/>
          <w:numId w:val="2"/>
        </w:numPr>
      </w:pPr>
      <w:r>
        <w:t xml:space="preserve">New or expanded ambulatory surgical centers</w:t>
      </w:r>
    </w:p>
    <w:p>
      <w:pPr>
        <w:pStyle w:val="ListParagraph"/>
        <w:numPr>
          <w:ilvl w:val="0"/>
          <w:numId w:val="2"/>
        </w:numPr>
      </w:pPr>
      <w:r>
        <w:t xml:space="preserve">Cardiac catheterization facilities</w:t>
      </w:r>
    </w:p>
    <w:p>
      <w:pPr>
        <w:pStyle w:val="ListParagraph"/>
        <w:numPr>
          <w:ilvl w:val="0"/>
          <w:numId w:val="2"/>
        </w:numPr>
      </w:pPr>
      <w:r>
        <w:t xml:space="preserve">MRI and CT imaging equipment</w:t>
      </w:r>
    </w:p>
    <w:p>
      <w:pPr>
        <w:pStyle w:val="ListParagraph"/>
        <w:numPr>
          <w:ilvl w:val="0"/>
          <w:numId w:val="2"/>
        </w:numPr>
      </w:pPr>
      <w:r>
        <w:t xml:space="preserve">Psychiatric and substance abuse treatment facilities</w:t>
      </w:r>
    </w:p>
    <w:p>
      <w:pPr>
        <w:pStyle w:val="ListParagraph"/>
        <w:numPr>
          <w:ilvl w:val="0"/>
          <w:numId w:val="2"/>
        </w:numPr>
      </w:pPr>
      <w:r>
        <w:t xml:space="preserve">Skilled nursing facilities and intermediate care</w:t>
      </w:r>
    </w:p>
    <w:p>
      <w:pPr>
        <w:spacing w:before="200" w:after="120"/>
      </w:pPr>
      <w:r>
        <w:t xml:space="preserve">The stated rationale for this comprehensive regulatory control is preventing duplication of services and controlling costs. The actual effect is market consolidation and protection of incumbent providers.</w:t>
      </w:r>
    </w:p>
    <w:p>
      <w:pPr>
        <w:pStyle w:val="Heading1"/>
      </w:pPr>
      <w:r>
        <w:t xml:space="preserve">The MedStar Health Monopoly</w:t>
      </w:r>
    </w:p>
    <w:p>
      <w:pPr>
        <w:spacing w:after="120"/>
      </w:pPr>
      <w:r>
        <w:t xml:space="preserve">MedStar Health dominates the D.C. healthcare market with a 10-hospital network that includes MedStar Washington Hospital Center, the largest hospital in the District with 926 beds, and MedStar Georgetown University Hospital. As a 501(c)(3) nonprofit organization, MedStar enjoys structural advantages unavailable to independent physicians and for-profit competitors: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Financial Metric</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FY 2023 Amount</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Market Impact</w:t>
            </w:r>
          </w:p>
        </w:tc>
      </w:tr>
      <w:tr>
        <w:tc>
          <w:tcPr>
            <w:tcW w:type="dxa" w:w="3120"/>
            <w:tcBorders>
              <w:top w:val="single" w:color="CCCCCC" w:sz="1"/>
              <w:left w:val="single" w:color="CCCCCC" w:sz="1"/>
              <w:bottom w:val="single" w:color="CCCCCC" w:sz="1"/>
              <w:right w:val="single" w:color="CCCCCC" w:sz="1"/>
            </w:tcBorders>
          </w:tcPr>
          <w:p>
            <w:r>
              <w:t xml:space="preserve">Total Operating Revenue</w:t>
            </w:r>
          </w:p>
        </w:tc>
        <w:tc>
          <w:tcPr>
            <w:tcW w:type="dxa" w:w="3120"/>
            <w:tcBorders>
              <w:top w:val="single" w:color="CCCCCC" w:sz="1"/>
              <w:left w:val="single" w:color="CCCCCC" w:sz="1"/>
              <w:bottom w:val="single" w:color="CCCCCC" w:sz="1"/>
              <w:right w:val="single" w:color="CCCCCC" w:sz="1"/>
            </w:tcBorders>
          </w:tcPr>
          <w:p>
            <w:r>
              <w:t xml:space="preserve">$7.8 billion</w:t>
            </w:r>
          </w:p>
        </w:tc>
        <w:tc>
          <w:tcPr>
            <w:tcW w:type="dxa" w:w="3120"/>
            <w:tcBorders>
              <w:top w:val="single" w:color="CCCCCC" w:sz="1"/>
              <w:left w:val="single" w:color="CCCCCC" w:sz="1"/>
              <w:bottom w:val="single" w:color="CCCCCC" w:sz="1"/>
              <w:right w:val="single" w:color="CCCCCC" w:sz="1"/>
            </w:tcBorders>
          </w:tcPr>
          <w:p>
            <w:r>
              <w:t xml:space="preserve">Largest healthcare provider in D.C.-Baltimore region</w:t>
            </w:r>
          </w:p>
        </w:tc>
      </w:tr>
      <w:tr>
        <w:tc>
          <w:tcPr>
            <w:tcW w:type="dxa" w:w="3120"/>
            <w:tcBorders>
              <w:top w:val="single" w:color="CCCCCC" w:sz="1"/>
              <w:left w:val="single" w:color="CCCCCC" w:sz="1"/>
              <w:bottom w:val="single" w:color="CCCCCC" w:sz="1"/>
              <w:right w:val="single" w:color="CCCCCC" w:sz="1"/>
            </w:tcBorders>
          </w:tcPr>
          <w:p>
            <w:r>
              <w:t xml:space="preserve">Total Assets</w:t>
            </w:r>
          </w:p>
        </w:tc>
        <w:tc>
          <w:tcPr>
            <w:tcW w:type="dxa" w:w="3120"/>
            <w:tcBorders>
              <w:top w:val="single" w:color="CCCCCC" w:sz="1"/>
              <w:left w:val="single" w:color="CCCCCC" w:sz="1"/>
              <w:bottom w:val="single" w:color="CCCCCC" w:sz="1"/>
              <w:right w:val="single" w:color="CCCCCC" w:sz="1"/>
            </w:tcBorders>
          </w:tcPr>
          <w:p>
            <w:r>
              <w:t xml:space="preserve">$7.6 billion</w:t>
            </w:r>
          </w:p>
        </w:tc>
        <w:tc>
          <w:tcPr>
            <w:tcW w:type="dxa" w:w="3120"/>
            <w:tcBorders>
              <w:top w:val="single" w:color="CCCCCC" w:sz="1"/>
              <w:left w:val="single" w:color="CCCCCC" w:sz="1"/>
              <w:bottom w:val="single" w:color="CCCCCC" w:sz="1"/>
              <w:right w:val="single" w:color="CCCCCC" w:sz="1"/>
            </w:tcBorders>
          </w:tcPr>
          <w:p>
            <w:r>
              <w:t xml:space="preserve">Capital reserves unavailable to independent physicians</w:t>
            </w:r>
          </w:p>
        </w:tc>
      </w:tr>
      <w:tr>
        <w:tc>
          <w:tcPr>
            <w:tcW w:type="dxa" w:w="3120"/>
            <w:tcBorders>
              <w:top w:val="single" w:color="CCCCCC" w:sz="1"/>
              <w:left w:val="single" w:color="CCCCCC" w:sz="1"/>
              <w:bottom w:val="single" w:color="CCCCCC" w:sz="1"/>
              <w:right w:val="single" w:color="CCCCCC" w:sz="1"/>
            </w:tcBorders>
          </w:tcPr>
          <w:p>
            <w:r>
              <w:t xml:space="preserve">Operating Earnings</w:t>
            </w:r>
          </w:p>
        </w:tc>
        <w:tc>
          <w:tcPr>
            <w:tcW w:type="dxa" w:w="3120"/>
            <w:tcBorders>
              <w:top w:val="single" w:color="CCCCCC" w:sz="1"/>
              <w:left w:val="single" w:color="CCCCCC" w:sz="1"/>
              <w:bottom w:val="single" w:color="CCCCCC" w:sz="1"/>
              <w:right w:val="single" w:color="CCCCCC" w:sz="1"/>
            </w:tcBorders>
          </w:tcPr>
          <w:p>
            <w:r>
              <w:t xml:space="preserve">$186 million</w:t>
            </w:r>
          </w:p>
        </w:tc>
        <w:tc>
          <w:tcPr>
            <w:tcW w:type="dxa" w:w="3120"/>
            <w:tcBorders>
              <w:top w:val="single" w:color="CCCCCC" w:sz="1"/>
              <w:left w:val="single" w:color="CCCCCC" w:sz="1"/>
              <w:bottom w:val="single" w:color="CCCCCC" w:sz="1"/>
              <w:right w:val="single" w:color="CCCCCC" w:sz="1"/>
            </w:tcBorders>
          </w:tcPr>
          <w:p>
            <w:r>
              <w:t xml:space="preserve">Tax-free profits while competitors pay full taxes</w:t>
            </w:r>
          </w:p>
        </w:tc>
      </w:tr>
      <w:tr>
        <w:tc>
          <w:tcPr>
            <w:tcW w:type="dxa" w:w="3120"/>
            <w:tcBorders>
              <w:top w:val="single" w:color="CCCCCC" w:sz="1"/>
              <w:left w:val="single" w:color="CCCCCC" w:sz="1"/>
              <w:bottom w:val="single" w:color="CCCCCC" w:sz="1"/>
              <w:right w:val="single" w:color="CCCCCC" w:sz="1"/>
            </w:tcBorders>
          </w:tcPr>
          <w:p>
            <w:r>
              <w:t xml:space="preserve">Tax-Exempt Status</w:t>
            </w:r>
          </w:p>
        </w:tc>
        <w:tc>
          <w:tcPr>
            <w:tcW w:type="dxa" w:w="3120"/>
            <w:tcBorders>
              <w:top w:val="single" w:color="CCCCCC" w:sz="1"/>
              <w:left w:val="single" w:color="CCCCCC" w:sz="1"/>
              <w:bottom w:val="single" w:color="CCCCCC" w:sz="1"/>
              <w:right w:val="single" w:color="CCCCCC" w:sz="1"/>
            </w:tcBorders>
          </w:tcPr>
          <w:p>
            <w:r>
              <w:t xml:space="preserve">100% federal, state, local</w:t>
            </w:r>
          </w:p>
        </w:tc>
        <w:tc>
          <w:tcPr>
            <w:tcW w:type="dxa" w:w="3120"/>
            <w:tcBorders>
              <w:top w:val="single" w:color="CCCCCC" w:sz="1"/>
              <w:left w:val="single" w:color="CCCCCC" w:sz="1"/>
              <w:bottom w:val="single" w:color="CCCCCC" w:sz="1"/>
              <w:right w:val="single" w:color="CCCCCC" w:sz="1"/>
            </w:tcBorders>
          </w:tcPr>
          <w:p>
            <w:r>
              <w:t xml:space="preserve">Est. $200M+ annual advantage vs. taxable competitors</w:t>
            </w:r>
          </w:p>
        </w:tc>
      </w:tr>
    </w:tbl>
    <w:p>
      <w:pPr>
        <w:spacing w:before="200" w:after="120"/>
      </w:pPr>
      <w:r>
        <w:t xml:space="preserve">These numbers reveal the fundamental asymmetry in D.C.'s healthcare market. MedStar operates with billions in assets, hundreds of millions in annual profits, and complete exemption from taxation. An independent physician seeking to compete must not only overcome the capital disadvantage but also navigate a CON approval process that incumbent systems use to block competition.</w:t>
      </w:r>
    </w:p>
    <w:p>
      <w:pPr>
        <w:pStyle w:val="Heading2"/>
      </w:pPr>
      <w:r>
        <w:t xml:space="preserve">The 340B Drug Pricing Advantage</w:t>
      </w:r>
    </w:p>
    <w:p>
      <w:pPr>
        <w:spacing w:after="120"/>
      </w:pPr>
      <w:r>
        <w:t xml:space="preserve">MedStar Health participates in the 340B Drug Pricing Program, which allows eligible hospitals to purchase outpatient drugs at discounts of 25-50% below market price. The program was designed to help safety-net hospitals serve vulnerable populations. In practice, it has become a profit center for large hospital systems.</w:t>
      </w:r>
    </w:p>
    <w:p>
      <w:pPr>
        <w:spacing w:after="120"/>
      </w:pPr>
      <w:r>
        <w:t xml:space="preserve">Here's how the arbitrage works: MedStar purchases drugs at the 340B discount price, dispenses them to insured patients, and bills insurers at full retail prices. The difference flows to MedStar's bottom line. While MedStar states that 340B savings support pharmacy discount programs and community health initiatives, the financial statements show operating earnings of $186 million, suggesting that charity care is not fully absorbing the 340B windfall.</w:t>
      </w:r>
    </w:p>
    <w:p>
      <w:pPr>
        <w:spacing w:after="120"/>
      </w:pPr>
      <w:r>
        <w:t xml:space="preserve">Independent physicians cannot access 340B pricing. They pay full wholesale prices for medications while competing against hospital systems that buy at steep discounts. CON laws prevent independent physicians from establishing facilities that would qualify for 340B status, ensuring that the price advantage remains concentrated in the hands of incumbent hospital systems.</w:t>
      </w:r>
    </w:p>
    <w:p>
      <w:pPr>
        <w:pStyle w:val="Heading1"/>
      </w:pPr>
      <w:r>
        <w:t xml:space="preserve">The CON Reform Theater</w:t>
      </w:r>
    </w:p>
    <w:p>
      <w:pPr>
        <w:spacing w:after="120"/>
      </w:pPr>
      <w:r>
        <w:t xml:space="preserve">In April 2024, the D.C. Council passed the 'CON Improvement Act of 2024,' which was immediately hailed as meaningful reform. The legislation made marginal adjustments to the CON review process while leaving the fundamental structure intact. The $6 million capital expenditure threshold remains. The 25 categories requiring CON approval remain. The authority of incumbent providers to challenge new competitors remains.</w:t>
      </w:r>
    </w:p>
    <w:p>
      <w:pPr>
        <w:spacing w:after="120"/>
      </w:pPr>
      <w:r>
        <w:t xml:space="preserve">This is regulatory theater at its finest. The Medical Society of the District of Columbia celebrated the passage of the bill, suggesting that the medical establishment views these 'reforms' as acceptable precisely because they change nothing substantive. Real reform would eliminate CON requirements for physician-owned facilities, remove barriers to ambulatory surgical centers, and end the permission slip system for capital expenditures. The 2024 legislation accomplished none of this.</w:t>
      </w:r>
    </w:p>
    <w:p>
      <w:pPr>
        <w:pStyle w:val="Heading1"/>
      </w:pPr>
      <w:r>
        <w:t xml:space="preserve">The Economic Reality: Site-of-Service Differentials</w:t>
      </w:r>
    </w:p>
    <w:p>
      <w:pPr>
        <w:spacing w:after="120"/>
      </w:pPr>
      <w:r>
        <w:t xml:space="preserve">One of the most pernicious effects of CON laws is the protection they afford hospital systems in maintaining site-of-service price differentials. The same medical procedure performed in a hospital outpatient department costs 2-3 times more than when performed in an independent physician's office or ambulatory surgical center. These price differences exist because Medicare and commercial insurers pay higher facility fees to hospitals.</w:t>
      </w:r>
    </w:p>
    <w:p>
      <w:pPr>
        <w:spacing w:after="120"/>
      </w:pPr>
      <w:r>
        <w:rPr>
          <w:b/>
          <w:bCs/>
        </w:rPr>
        <w:t xml:space="preserve">Examples of Site-of-Service Price Differentials:</w:t>
      </w:r>
    </w:p>
    <w:p>
      <w:pPr>
        <w:pStyle w:val="ListParagraph"/>
        <w:numPr>
          <w:ilvl w:val="0"/>
          <w:numId w:val="2"/>
        </w:numPr>
      </w:pPr>
      <w:r>
        <w:t xml:space="preserve">Upper endoscopy: $1,800 in hospital outpatient vs. $600 in ASC</w:t>
      </w:r>
    </w:p>
    <w:p>
      <w:pPr>
        <w:pStyle w:val="ListParagraph"/>
        <w:numPr>
          <w:ilvl w:val="0"/>
          <w:numId w:val="2"/>
        </w:numPr>
      </w:pPr>
      <w:r>
        <w:t xml:space="preserve">Colonoscopy: $2,400 in hospital outpatient vs. $800 in ASC</w:t>
      </w:r>
    </w:p>
    <w:p>
      <w:pPr>
        <w:pStyle w:val="ListParagraph"/>
        <w:numPr>
          <w:ilvl w:val="0"/>
          <w:numId w:val="2"/>
        </w:numPr>
      </w:pPr>
      <w:r>
        <w:t xml:space="preserve">MRI scan: $2,000 in hospital outpatient vs. $500 in independent imaging center</w:t>
      </w:r>
    </w:p>
    <w:p>
      <w:pPr>
        <w:pStyle w:val="ListParagraph"/>
        <w:numPr>
          <w:ilvl w:val="0"/>
          <w:numId w:val="2"/>
        </w:numPr>
      </w:pPr>
      <w:r>
        <w:t xml:space="preserve">Cataract surgery: $5,000 in hospital outpatient vs. $1,800 in ASC</w:t>
      </w:r>
    </w:p>
    <w:p>
      <w:pPr>
        <w:spacing w:before="200" w:after="120"/>
      </w:pPr>
      <w:r>
        <w:t xml:space="preserve">CON laws protect these price differentials by preventing independent physicians from establishing competing facilities. If an independent gastroenterologist wants to open an endoscopy center to offer colonoscopies at $800 instead of $2,400, they must first obtain CON approval. MedStar Health and other incumbent systems can challenge the application, arguing that the new facility would duplicate existing services and is therefore unnecessary. The CON board, operating under a cost-control mandate, often sides with the incumbent, and the independent physician's application is denied.</w:t>
      </w:r>
    </w:p>
    <w:p>
      <w:pPr>
        <w:spacing w:after="200"/>
      </w:pPr>
      <w:r>
        <w:t xml:space="preserve">The result: patients in D.C. pay hospital prices for procedures that could be performed safely and effectively in lower-cost settings, and independent physicians are systematically excluded from the market.</w:t>
      </w:r>
    </w:p>
    <w:p>
      <w:pPr>
        <w:pStyle w:val="Heading1"/>
      </w:pPr>
      <w:r>
        <w:t xml:space="preserve">The Physician-Owned Hospital Extinction</w:t>
      </w:r>
    </w:p>
    <w:p>
      <w:pPr>
        <w:spacing w:after="120"/>
      </w:pPr>
      <w:r>
        <w:t xml:space="preserve">Before the Affordable Care Act, physician-owned hospitals represented the most effective competition against traditional hospital systems. These facilities typically achieved better outcomes, higher patient satisfaction, and lower costs than their nonprofit competitors. They also threatened the market position of established systems.</w:t>
      </w:r>
    </w:p>
    <w:p>
      <w:pPr>
        <w:spacing w:after="120"/>
      </w:pPr>
      <w:r>
        <w:t xml:space="preserve">The ACA effectively banned new physician-owned hospitals and prohibited existing ones from expanding. In D.C., where CON laws already restricted hospital development, the ACA ban was redundant. The combination of federal prohibition and local CON requirements created an impenetrable barrier to physician entrepreneurship.</w:t>
      </w:r>
    </w:p>
    <w:p>
      <w:pPr>
        <w:spacing w:after="120"/>
      </w:pPr>
      <w:r>
        <w:t xml:space="preserve">Consider what this means in practice. A group of orthopedic surgeons in D.C. identifies an opportunity to build a specialty hospital focused on joint replacement surgery. They have the capital, the expertise, and the patient demand. Under current law, they cannot proceed. The ACA prohibits them from building a physician-owned hospital. The CON laws would prohibit them from adding beds or establishing a new facility even if the ACA ban were lifted. MedStar Health faces no such restrictions.</w:t>
      </w:r>
    </w:p>
    <w:p>
      <w:pPr>
        <w:spacing w:after="200"/>
      </w:pPr>
      <w:r>
        <w:t xml:space="preserve">This is not market competition. This is market protection enforced by law.</w:t>
      </w:r>
    </w:p>
    <w:p>
      <w:pPr>
        <w:pStyle w:val="Heading1"/>
      </w:pPr>
      <w:r>
        <w:t xml:space="preserve">The Medical Debt and Charity Care Question</w:t>
      </w:r>
    </w:p>
    <w:p>
      <w:pPr>
        <w:spacing w:after="120"/>
      </w:pPr>
      <w:r>
        <w:t xml:space="preserve">MedStar Health's tax-exempt status is predicated on providing community benefit. The most direct form of community benefit is charity care for patients who cannot afford to pay. The question that demands investigation: does MedStar's charity care provision justify the hundreds of millions in tax exemptions and regulatory advantages it receives?</w:t>
      </w:r>
    </w:p>
    <w:p>
      <w:pPr>
        <w:spacing w:after="120"/>
      </w:pPr>
      <w:r>
        <w:t xml:space="preserve">D.C. has initiated programs to cancel medical debt, recognizing that hospital billing and collection practices have burdened thousands of residents with unpayable obligations. This raises uncomfortable questions about how aggressively MedStar and other D.C. hospitals pursue collections, how readily they offer charity care to eligible patients, and whether their billing practices are designed to maximize revenue even from patients of modest means.</w:t>
      </w:r>
    </w:p>
    <w:p>
      <w:pPr>
        <w:spacing w:after="120"/>
      </w:pPr>
      <w:r>
        <w:t xml:space="preserve">The arithmetic of community benefit is straightforward. If MedStar receives $200 million in annual tax exemptions, enjoys $50-100 million in 340B drug pricing advantages, and benefits from Graduate Medical Education subsidies, its charity care and community health programs should exceed these amounts. If charity care falls short, the tax-exempt status is not justified, and MedStar is extracting more from the community than it provides.</w:t>
      </w:r>
    </w:p>
    <w:p>
      <w:pPr>
        <w:pStyle w:val="Heading1"/>
      </w:pPr>
      <w:r>
        <w:t xml:space="preserve">The Path Forward: Real Reform</w:t>
      </w:r>
    </w:p>
    <w:p>
      <w:pPr>
        <w:spacing w:after="120"/>
      </w:pPr>
      <w:r>
        <w:t xml:space="preserve">Meaningful CON reform in D.C. requires dismantling the regulatory structure that protects incumbent providers. Half-measures and procedural adjustments will not suffice. The following changes would restore competition and reduce costs:</w:t>
      </w:r>
    </w:p>
    <w:p>
      <w:pPr>
        <w:spacing w:before="200" w:after="120"/>
      </w:pPr>
      <w:r>
        <w:rPr>
          <w:b/>
          <w:bCs/>
        </w:rPr>
        <w:t xml:space="preserve">1. Eliminate CON Requirements for Physician-Owned Facilities</w:t>
      </w:r>
    </w:p>
    <w:p>
      <w:pPr>
        <w:spacing w:after="120"/>
      </w:pPr>
      <w:r>
        <w:t xml:space="preserve">Ambulatory surgical centers, imaging centers, and specialty hospitals owned by practicing physicians should be exempt from CON review. These facilities deliver care at lower cost with comparable or superior outcomes. They pose no threat to healthcare access and should not require government permission to operate.</w:t>
      </w:r>
    </w:p>
    <w:p>
      <w:pPr>
        <w:spacing w:before="200" w:after="120"/>
      </w:pPr>
      <w:r>
        <w:rPr>
          <w:b/>
          <w:bCs/>
        </w:rPr>
        <w:t xml:space="preserve">2. Remove Capital Expenditure Thresholds</w:t>
      </w:r>
    </w:p>
    <w:p>
      <w:pPr>
        <w:spacing w:after="120"/>
      </w:pPr>
      <w:r>
        <w:t xml:space="preserve">The $6 million threshold for CON review creates an insurmountable barrier for independent physicians while being trivial for systems like MedStar Health with $7.6 billion in assets. Eliminating the threshold would allow physicians to invest in their practices without seeking regulatory approval.</w:t>
      </w:r>
    </w:p>
    <w:p>
      <w:pPr>
        <w:spacing w:before="200" w:after="120"/>
      </w:pPr>
      <w:r>
        <w:rPr>
          <w:b/>
          <w:bCs/>
        </w:rPr>
        <w:t xml:space="preserve">3. End the Incumbent Challenge Process</w:t>
      </w:r>
    </w:p>
    <w:p>
      <w:pPr>
        <w:spacing w:after="120"/>
      </w:pPr>
      <w:r>
        <w:t xml:space="preserve">Existing providers should not have standing to challenge new competitors on the basis of market duplication. This provision transforms CON boards into anticompetitive enforcement mechanisms. If a new provider believes they can serve patients better or more efficiently, they should be free to try without facing challenges from threatened incumbents.</w:t>
      </w:r>
    </w:p>
    <w:p>
      <w:pPr>
        <w:spacing w:before="200" w:after="120"/>
      </w:pPr>
      <w:r>
        <w:rPr>
          <w:b/>
          <w:bCs/>
        </w:rPr>
        <w:t xml:space="preserve">4. Implement Site-Neutral Payment Reform</w:t>
      </w:r>
    </w:p>
    <w:p>
      <w:pPr>
        <w:spacing w:after="120"/>
      </w:pPr>
      <w:r>
        <w:t xml:space="preserve">Medicare and commercial insurers should pay the same rate for the same service regardless of where it is performed. Site-neutral payment would eliminate the price advantage that hospital outpatient departments enjoy over independent facilities and ASCs, removing the financial incentive for hospital systems to oppose competition.</w:t>
      </w:r>
    </w:p>
    <w:p>
      <w:pPr>
        <w:spacing w:before="200" w:after="120"/>
      </w:pPr>
      <w:r>
        <w:rPr>
          <w:b/>
          <w:bCs/>
        </w:rPr>
        <w:t xml:space="preserve">5. Reform 340B to Prevent Profit-Taking</w:t>
      </w:r>
    </w:p>
    <w:p>
      <w:pPr>
        <w:spacing w:after="200"/>
      </w:pPr>
      <w:r>
        <w:t xml:space="preserve">If 340B is to continue, it should be limited to actual charity care. Hospitals should not be permitted to purchase drugs at 340B prices and bill insured patients at full retail prices. The program should require that 340B savings be fully passed through to uninsured and underinsured patients, with transparent reporting of charity care relative to 340B benefits.</w:t>
      </w:r>
    </w:p>
    <w:p>
      <w:pPr>
        <w:pStyle w:val="Heading1"/>
      </w:pPr>
      <w:r>
        <w:t xml:space="preserve">Conclusion: The Cost of Capture</w:t>
      </w:r>
    </w:p>
    <w:p>
      <w:pPr>
        <w:spacing w:after="120"/>
      </w:pPr>
      <w:r>
        <w:t xml:space="preserve">Washington D.C.'s Certificate of Need laws represent regulatory capture in its purest form. The system is designed, operated, and defended by the very entities it purportedly regulates. MedStar Health and other incumbent systems benefit from market protection, tax exemptions, and drug pricing advantages while independent physicians face insurmountable barriers to competition.</w:t>
      </w:r>
    </w:p>
    <w:p>
      <w:pPr>
        <w:spacing w:after="120"/>
      </w:pPr>
      <w:r>
        <w:t xml:space="preserve">The stated goals of CON laws—cost control and prevention of service duplication—have not been achieved. Healthcare in D.C. is expensive, access is constrained, and site-of-service price differentials persist because competition is prohibited by law. Research from the Mercatus Center and other institutions consistently shows that CON repeal improves quality, increases access, and reduces costs.</w:t>
      </w:r>
    </w:p>
    <w:p>
      <w:pPr>
        <w:spacing w:after="120"/>
      </w:pPr>
      <w:r>
        <w:t xml:space="preserve">The 2024 CON reform legislation was an exercise in legislative theater, making marginal adjustments while leaving the anticompetitive structure intact. Real reform requires eliminating CON barriers to physician-owned facilities, removing capital expenditure thresholds, ending incumbent challenges to new competition, implementing site-neutral payment, and reforming 340B to prevent profit-taking.</w:t>
      </w:r>
    </w:p>
    <w:p>
      <w:pPr>
        <w:spacing w:after="120"/>
      </w:pPr>
      <w:r>
        <w:t xml:space="preserve">Until these changes occur, D.C. residents will continue to pay inflated prices for healthcare while independent physicians remain locked out of the market. The cost of regulatory capture is measured in billions of dollars and countless patients who are denied access to more affordable, higher-quality care.</w:t>
      </w:r>
    </w:p>
    <w:p>
      <w:pPr>
        <w:spacing w:after="200"/>
      </w:pPr>
      <w:r>
        <w:t xml:space="preserve">The nation's capital deserves better than a healthcare market rigged in favor of incumbent monopolies. It's time to dismantle the CON regime and let competition serve patients instead of protecting profits.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2025-11-11T12:16:22.976Z</dcterms:created>
  <dcterms:modified xsi:type="dcterms:W3CDTF">2025-11-11T12:16:22.977Z</dcterms:modified>
</cp:coreProperties>
</file>

<file path=docProps/custom.xml><?xml version="1.0" encoding="utf-8"?>
<Properties xmlns="http://schemas.openxmlformats.org/officeDocument/2006/custom-properties" xmlns:vt="http://schemas.openxmlformats.org/officeDocument/2006/docPropsVTypes"/>
</file>