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员工报销制度</w:t>
      </w:r>
    </w:p>
    <w:p>
      <w:pPr>
        <w:pStyle w:val="Heading1"/>
      </w:pPr>
      <w:r>
        <w:t>一、适用范围</w:t>
      </w:r>
    </w:p>
    <w:p>
      <w:r>
        <w:t>本制度适用于公司全体在职员工因公出差、业务招待、办公采购等产生的费用报销。</w:t>
      </w:r>
    </w:p>
    <w:p>
      <w:r>
        <w:t>实习生的差旅费用按正式员工标准的百分之八十执行，须由导师代为提交报销单。</w:t>
      </w:r>
    </w:p>
    <w:p>
      <w:pPr>
        <w:pStyle w:val="Heading1"/>
      </w:pPr>
      <w:r>
        <w:t>二、报销流程</w:t>
      </w:r>
    </w:p>
    <w:p>
      <w:r>
        <w:t>1. 员工应在费用发生后十五个工作日内提交报销申请，先由直属上级审批，再由财务中心复核。</w:t>
      </w:r>
    </w:p>
    <w:p>
      <w:r>
        <w:t>2. 单笔金额超过五千元需部门负责人与财务负责人双签。</w:t>
      </w:r>
    </w:p>
    <w:p>
      <w:r>
        <w:t>3. 财务复核通过后，报销款在每个工作日的下午统一打款至员工工资卡。</w:t>
      </w:r>
    </w:p>
    <w:p>
      <w:pPr>
        <w:pStyle w:val="Heading1"/>
      </w:pPr>
      <w:r>
        <w:t>三、票据要求</w:t>
      </w:r>
    </w:p>
    <w:p>
      <w:r>
        <w:t>报销须提供合规发票原件或电子发票 PDF，抬头必须为公司全称。</w:t>
      </w:r>
    </w:p>
    <w:p>
      <w:r>
        <w:t>餐费、交通费须附消费清单；超过三百元的打车费须说明事由。</w:t>
      </w:r>
    </w:p>
    <w:p>
      <w:r>
        <w:t>发票遗失的，经办人须填写《发票遗失说明》并由部门负责人签字。</w:t>
      </w:r>
    </w:p>
    <w:p>
      <w:pPr>
        <w:pStyle w:val="Heading1"/>
      </w:pPr>
      <w:r>
        <w:t>四、常见问题</w:t>
      </w:r>
    </w:p>
    <w:p>
      <w:r>
        <w:t>问：报销单被财务退回怎么办？答：查看退回原因，补正后在原单上重新提交即可，无需重新填写。</w:t>
      </w:r>
    </w:p>
    <w:p>
      <w:r>
        <w:t>问：跨年的发票能否报销？答：上一年度十二月及以后的发票最迟在次年一月十五日前提交。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