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财务审批权限手册</w:t>
      </w:r>
    </w:p>
    <w:p>
      <w:pPr>
        <w:pStyle w:val="Heading1"/>
      </w:pPr>
      <w:r>
        <w:t>一、审批层级</w:t>
      </w:r>
    </w:p>
    <w:p>
      <w:r>
        <w:t>部门负责人可审批单笔一万元以内的费用；财务负责人可审批五万元以内；超过五万元须由总经理审批。</w:t>
      </w:r>
    </w:p>
    <w:p>
      <w:r>
        <w:t>对外付款须同时具备合同编号与验收单，否则财务有权拒绝受理。</w:t>
      </w:r>
    </w:p>
    <w:p>
      <w:pPr>
        <w:pStyle w:val="Heading1"/>
      </w:pPr>
      <w:r>
        <w:t>二、预算管理</w:t>
      </w:r>
    </w:p>
    <w:p>
      <w:r>
        <w:t>各部门每月费用不得超过预算额度，超预算部分须提前提交预算调整申请。</w:t>
      </w:r>
    </w:p>
    <w:p>
      <w:r>
        <w:t>预算调整超过原有预算百分之二十的，须经财务委员会审议。</w:t>
      </w:r>
    </w:p>
    <w:p>
      <w:pPr>
        <w:pStyle w:val="Heading1"/>
      </w:pPr>
      <w:r>
        <w:t>三、资金安全</w:t>
      </w:r>
    </w:p>
    <w:p>
      <w:r>
        <w:t>银行 U 盾由财务中心两人分开保管，付款操作须双人复核。</w:t>
      </w:r>
    </w:p>
    <w:p>
      <w:r>
        <w:t>大额付款前须通过电话回拨核实收款账户。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