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62A" w:rsidRDefault="0033162A" w:rsidP="00D24B5B">
      <w:pPr>
        <w:pStyle w:val="Heading2"/>
      </w:pPr>
    </w:p>
    <w:p w:rsidR="0033162A" w:rsidRDefault="0033162A" w:rsidP="00D24B5B">
      <w:pPr>
        <w:pStyle w:val="Heading2"/>
      </w:pPr>
    </w:p>
    <w:p w:rsidR="0033162A" w:rsidRDefault="0033162A" w:rsidP="00D24B5B">
      <w:pPr>
        <w:pStyle w:val="Heading2"/>
      </w:pPr>
    </w:p>
    <w:p w:rsidR="0033162A" w:rsidRDefault="0033162A">
      <w:pPr>
        <w:rPr>
          <w:rFonts w:asciiTheme="majorHAnsi" w:eastAsiaTheme="majorEastAsia" w:hAnsiTheme="majorHAnsi" w:cstheme="majorBidi"/>
          <w:color w:val="2E74B5" w:themeColor="accent1" w:themeShade="BF"/>
          <w:sz w:val="26"/>
          <w:szCs w:val="26"/>
        </w:rPr>
      </w:pPr>
      <w:r>
        <w:br w:type="page"/>
      </w:r>
    </w:p>
    <w:p w:rsidR="0033162A" w:rsidRDefault="0033162A" w:rsidP="0033162A">
      <w:pPr>
        <w:pStyle w:val="Heading1"/>
      </w:pPr>
      <w:r>
        <w:lastRenderedPageBreak/>
        <w:t>Trade Misinvoicing Analysis (Mirror Analysis)</w:t>
      </w:r>
    </w:p>
    <w:p w:rsidR="00C66B3A" w:rsidRDefault="00EE6A8F" w:rsidP="00EE6A8F">
      <w:pPr>
        <w:pStyle w:val="Heading2"/>
      </w:pPr>
      <w:r>
        <w:t>General Process</w:t>
      </w:r>
      <w:r w:rsidR="00F362EE">
        <w:rPr>
          <w:rStyle w:val="FootnoteReference"/>
        </w:rPr>
        <w:footnoteReference w:id="1"/>
      </w:r>
    </w:p>
    <w:p w:rsidR="00EE6A8F" w:rsidRPr="00EE6A8F" w:rsidRDefault="00EE6A8F" w:rsidP="00EE6A8F"/>
    <w:p w:rsidR="00AD6FAE" w:rsidRDefault="00C66B3A">
      <w:p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59264" behindDoc="0" locked="0" layoutInCell="1" allowOverlap="1" wp14:anchorId="1DDFFD08" wp14:editId="34FAE663">
                <wp:simplePos x="0" y="0"/>
                <wp:positionH relativeFrom="margin">
                  <wp:align>center</wp:align>
                </wp:positionH>
                <wp:positionV relativeFrom="line">
                  <wp:align>outside</wp:align>
                </wp:positionV>
                <wp:extent cx="2121408" cy="6647688"/>
                <wp:effectExtent l="0" t="0" r="12700" b="20320"/>
                <wp:wrapTopAndBottom/>
                <wp:docPr id="15" name="Group 15"/>
                <wp:cNvGraphicFramePr/>
                <a:graphic xmlns:a="http://schemas.openxmlformats.org/drawingml/2006/main">
                  <a:graphicData uri="http://schemas.microsoft.com/office/word/2010/wordprocessingGroup">
                    <wpg:wgp>
                      <wpg:cNvGrpSpPr/>
                      <wpg:grpSpPr>
                        <a:xfrm>
                          <a:off x="0" y="0"/>
                          <a:ext cx="2121408" cy="6647688"/>
                          <a:chOff x="0" y="0"/>
                          <a:chExt cx="2122098" cy="6650450"/>
                        </a:xfrm>
                      </wpg:grpSpPr>
                      <wps:wsp>
                        <wps:cNvPr id="2" name="Rounded Rectangle 2"/>
                        <wps:cNvSpPr/>
                        <wps:spPr>
                          <a:xfrm>
                            <a:off x="0" y="0"/>
                            <a:ext cx="2122098" cy="79363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6B3A" w:rsidRDefault="00C66B3A" w:rsidP="00C66B3A">
                              <w:pPr>
                                <w:jc w:val="center"/>
                              </w:pPr>
                              <w:r>
                                <w:t>Download and Clean 16-year Global Comtrade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147313"/>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6B3A" w:rsidRDefault="00C66B3A" w:rsidP="00C66B3A">
                              <w:pPr>
                                <w:jc w:val="center"/>
                              </w:pPr>
                              <w:r>
                                <w:t>Pair Trade Data and Separate Matched, Orphaned, and Lost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2320505"/>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6B3A" w:rsidRDefault="00C66B3A" w:rsidP="00C66B3A">
                              <w:pPr>
                                <w:jc w:val="center"/>
                              </w:pPr>
                              <w:r>
                                <w:t>Prepare Data for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3519577"/>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6B3A" w:rsidRDefault="00C66B3A" w:rsidP="00C66B3A">
                              <w:pPr>
                                <w:jc w:val="center"/>
                              </w:pPr>
                              <w:r>
                                <w:t>Build Model to Estimate CIF FOB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4684143"/>
                            <a:ext cx="2121535" cy="7931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E6A8F" w:rsidRDefault="00C66B3A" w:rsidP="00C66B3A">
                              <w:pPr>
                                <w:jc w:val="center"/>
                              </w:pPr>
                              <w:r>
                                <w:t>Calculate Trade Misinvoicing</w:t>
                              </w:r>
                            </w:p>
                            <w:p w:rsidR="00C66B3A" w:rsidRDefault="00EE6A8F" w:rsidP="00C66B3A">
                              <w:pPr>
                                <w:jc w:val="center"/>
                              </w:pPr>
                              <w:r>
                                <w:t>(branching global and national)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5857335"/>
                            <a:ext cx="2121535" cy="7931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6A8F" w:rsidRDefault="00C66B3A" w:rsidP="00C66B3A">
                              <w:pPr>
                                <w:jc w:val="center"/>
                              </w:pPr>
                              <w:r>
                                <w:t>Calculate Tariff Loss</w:t>
                              </w:r>
                            </w:p>
                            <w:p w:rsidR="00C66B3A" w:rsidRDefault="00EE6A8F" w:rsidP="00C66B3A">
                              <w:pPr>
                                <w:jc w:val="center"/>
                              </w:pPr>
                              <w:r>
                                <w:t>(only for national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966158" y="84538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966158" y="200132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966158" y="3174520"/>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966158" y="4364966"/>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a:off x="966158" y="553815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FFD08" id="Group 15" o:spid="_x0000_s1026" style="position:absolute;margin-left:0;margin-top:0;width:167.05pt;height:523.45pt;z-index:251659264;mso-position-horizontal:center;mso-position-horizontal-relative:margin;mso-position-vertical:outside;mso-position-vertical-relative:line;mso-width-relative:margin;mso-height-relative:margin" coordsize="21220,6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">
                <v:roundrect id="Rounded Rectangle 2" o:spid="_x0000_s1027" style="position:absolute;width:21220;height:7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uyJcEA&#10;AADaAAAADwAAAGRycy9kb3ducmV2LnhtbESPQYvCMBSE78L+h/AW9qapsspajbIsCl4s6qrnR/Ns&#10;is1LaaLWf28EweMwM98w03lrK3GlxpeOFfR7CQji3OmSCwX7/2X3B4QPyBorx6TgTh7ms4/OFFPt&#10;bryl6y4UIkLYp6jAhFCnUvrckEXfczVx9E6usRiibAqpG7xFuK3kIElG0mLJccFgTX+G8vPuYhWE&#10;ZL2oTYaH0zk7fg9HG73cZGOlvj7b3wmIQG14h1/tlVYwgOeVe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siXBAAAA2gAAAA8AAAAAAAAAAAAAAAAAmAIAAGRycy9kb3du&#10;cmV2LnhtbFBLBQYAAAAABAAEAPUAAACGAwAAAAA=&#10;" fillcolor="#70ad47 [3209]" strokecolor="#375623 [1609]" strokeweight="1pt">
                  <v:stroke joinstyle="miter"/>
                  <v:textbox>
                    <w:txbxContent>
                      <w:p w:rsidR="00C66B3A" w:rsidRDefault="00C66B3A" w:rsidP="00C66B3A">
                        <w:pPr>
                          <w:jc w:val="center"/>
                        </w:pPr>
                        <w:r>
                          <w:t>Download and Clean 16-year Global Comtrade Data</w:t>
                        </w:r>
                      </w:p>
                    </w:txbxContent>
                  </v:textbox>
                </v:roundrect>
                <v:roundrect id="Rounded Rectangle 3" o:spid="_x0000_s1028" style="position:absolute;top:11473;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cXvsMA&#10;AADaAAAADwAAAGRycy9kb3ducmV2LnhtbESPQWvCQBSE74X+h+UJvdWNtQZNs0opCr0YrNWeH9mX&#10;bDD7NmS3mv77riB4HGbmGyZfDbYVZ+p941jBZJyAIC6dbrhWcPjePM9B+ICssXVMCv7Iw2r5+JBj&#10;pt2Fv+i8D7WIEPYZKjAhdJmUvjRk0Y9dRxy9yvUWQ5R9LXWPlwi3rXxJklRabDguGOzow1B52v9a&#10;BSHZrjtT4LE6FT+vs3SnN7tiodTTaHh/AxFoCPfwrf2pFUzheiXe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cXvsMAAADaAAAADwAAAAAAAAAAAAAAAACYAgAAZHJzL2Rv&#10;d25yZXYueG1sUEsFBgAAAAAEAAQA9QAAAIgDAAAAAA==&#10;" fillcolor="#70ad47 [3209]" strokecolor="#375623 [1609]" strokeweight="1pt">
                  <v:stroke joinstyle="miter"/>
                  <v:textbox>
                    <w:txbxContent>
                      <w:p w:rsidR="00C66B3A" w:rsidRDefault="00C66B3A" w:rsidP="00C66B3A">
                        <w:pPr>
                          <w:jc w:val="center"/>
                        </w:pPr>
                        <w:r>
                          <w:t>Pair Trade Data and Separate Matched, Orphaned, and Lost</w:t>
                        </w:r>
                      </w:p>
                    </w:txbxContent>
                  </v:textbox>
                </v:roundrect>
                <v:roundrect id="Rounded Rectangle 6" o:spid="_x0000_s1029" style="position:absolute;top:23205;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0JsIA&#10;AADaAAAADwAAAGRycy9kb3ducmV2LnhtbESPT4vCMBTE7wt+h/AEb5oqblmrUUQU9rLF9d/50Tyb&#10;YvNSmqjdb79ZEPY4zMxvmMWqs7V4UOsrxwrGowQEceF0xaWC03E3/ADhA7LG2jEp+CEPq2XvbYGZ&#10;dk/+pschlCJC2GeowITQZFL6wpBFP3INcfSurrUYomxLqVt8Rrit5SRJUmmx4rhgsKGNoeJ2uFsF&#10;IfnaNibH8/WWX6bv6V7v9vlMqUG/W89BBOrCf/jV/tQKUvi7Em+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LQmwgAAANoAAAAPAAAAAAAAAAAAAAAAAJgCAABkcnMvZG93&#10;bnJldi54bWxQSwUGAAAAAAQABAD1AAAAhwMAAAAA&#10;" fillcolor="#70ad47 [3209]" strokecolor="#375623 [1609]" strokeweight="1pt">
                  <v:stroke joinstyle="miter"/>
                  <v:textbox>
                    <w:txbxContent>
                      <w:p w:rsidR="00C66B3A" w:rsidRDefault="00C66B3A" w:rsidP="00C66B3A">
                        <w:pPr>
                          <w:jc w:val="center"/>
                        </w:pPr>
                        <w:r>
                          <w:t>Prepare Data for Modeling</w:t>
                        </w:r>
                      </w:p>
                    </w:txbxContent>
                  </v:textbox>
                </v:roundrect>
                <v:roundrect id="Rounded Rectangle 7" o:spid="_x0000_s1030" style="position:absolute;top:35195;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vcMA&#10;AADaAAAADwAAAGRycy9kb3ducmV2LnhtbESPT2vCQBTE74V+h+UVeqsbS2s1upEiCl4M1n/nR/aZ&#10;Dcm+DdlV02/vFgoeh5n5DTOb97YRV+p85VjBcJCAIC6crrhUcNiv3sYgfEDW2DgmBb/kYZ49P80w&#10;1e7GP3TdhVJECPsUFZgQ2lRKXxiy6AeuJY7e2XUWQ5RdKXWHtwi3jXxPkpG0WHFcMNjSwlBR7y5W&#10;QUg2y9bkeDzX+enjc7TVq20+Uer1pf+eggjUh0f4v73WCr7g70q8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RvcMAAADaAAAADwAAAAAAAAAAAAAAAACYAgAAZHJzL2Rv&#10;d25yZXYueG1sUEsFBgAAAAAEAAQA9QAAAIgDAAAAAA==&#10;" fillcolor="#70ad47 [3209]" strokecolor="#375623 [1609]" strokeweight="1pt">
                  <v:stroke joinstyle="miter"/>
                  <v:textbox>
                    <w:txbxContent>
                      <w:p w:rsidR="00C66B3A" w:rsidRDefault="00C66B3A" w:rsidP="00C66B3A">
                        <w:pPr>
                          <w:jc w:val="center"/>
                        </w:pPr>
                        <w:r>
                          <w:t>Build Model to Estimate CIF FOB Difference</w:t>
                        </w:r>
                      </w:p>
                    </w:txbxContent>
                  </v:textbox>
                </v:roundrect>
                <v:roundrect id="Rounded Rectangle 8" o:spid="_x0000_s1031" style="position:absolute;top:46841;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o4A78A&#10;AADaAAAADwAAAGRycy9kb3ducmV2LnhtbERPz2vCMBS+C/4P4QleRFM3EdsZRRzi8GaVnd+aZ1PW&#10;vJQkavffL4fBjh/f7/W2t614kA+NYwXzWQaCuHK64VrB9XKYrkCEiKyxdUwKfijAdjMcrLHQ7sln&#10;epSxFimEQ4EKTIxdIWWoDFkMM9cRJ+7mvMWYoK+l9vhM4baVL1m2lBYbTg0GO9obqr7Lu1Vw/1y8&#10;5qU/vrubmQT6qvLj/qSVGo/63RuISH38F/+5P7SCtDVdSTdAb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2jgDvwAAANoAAAAPAAAAAAAAAAAAAAAAAJgCAABkcnMvZG93bnJl&#10;di54bWxQSwUGAAAAAAQABAD1AAAAhAMAAAAA&#10;" fillcolor="#ed7d31 [3205]" strokecolor="#823b0b [1605]" strokeweight="1pt">
                  <v:stroke joinstyle="miter"/>
                  <v:textbox>
                    <w:txbxContent>
                      <w:p w:rsidR="00EE6A8F" w:rsidRDefault="00C66B3A" w:rsidP="00C66B3A">
                        <w:pPr>
                          <w:jc w:val="center"/>
                        </w:pPr>
                        <w:r>
                          <w:t>Calculate Trade Misinvoicing</w:t>
                        </w:r>
                      </w:p>
                      <w:p w:rsidR="00C66B3A" w:rsidRDefault="00EE6A8F" w:rsidP="00C66B3A">
                        <w:pPr>
                          <w:jc w:val="center"/>
                        </w:pPr>
                        <w:r>
                          <w:t>(branching global and national)</w:t>
                        </w:r>
                      </w:p>
                    </w:txbxContent>
                  </v:textbox>
                </v:roundrect>
                <v:roundrect id="Rounded Rectangle 9" o:spid="_x0000_s1032" style="position:absolute;top:58573;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EE6A8F" w:rsidRDefault="00C66B3A" w:rsidP="00C66B3A">
                        <w:pPr>
                          <w:jc w:val="center"/>
                        </w:pPr>
                        <w:r>
                          <w:t>Calculate Tariff Loss</w:t>
                        </w:r>
                      </w:p>
                      <w:p w:rsidR="00C66B3A" w:rsidRDefault="00EE6A8F" w:rsidP="00C66B3A">
                        <w:pPr>
                          <w:jc w:val="center"/>
                        </w:pPr>
                        <w:r>
                          <w:t>(only for national analysis)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33" type="#_x0000_t67" style="position:absolute;left:9661;top:8453;width:1898;height:2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v4cMA&#10;AADbAAAADwAAAGRycy9kb3ducmV2LnhtbESPQW/CMAyF70j8h8hIu0EKq9AoBITQJnHZAbbDjlbj&#10;NhWNUzUpdP9+PkziZus9v/d5dxh9q+7UxyawgeUiA0VcBttwbeD762P+BiomZIttYDLwSxEO++lk&#10;h4UND77Q/ZpqJSEcCzTgUuoKrWPpyGNchI5YtCr0HpOsfa1tjw8J961eZdlae2xYGhx2dHJU3q6D&#10;N1C6T/tzPLuMLnn1nqohfx02uTEvs/G4BZVoTE/z//XZCr7Qyy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9v4cMAAADbAAAADwAAAAAAAAAAAAAAAACYAgAAZHJzL2Rv&#10;d25yZXYueG1sUEsFBgAAAAAEAAQA9QAAAIgDAAAAAA==&#10;" adj="13935" fillcolor="#a5a5a5 [3206]" strokecolor="#525252 [1606]" strokeweight="1pt"/>
                <v:shape id="Down Arrow 11" o:spid="_x0000_s1034" type="#_x0000_t67" style="position:absolute;left:9661;top:20013;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PKesEA&#10;AADbAAAADwAAAGRycy9kb3ducmV2LnhtbERPPWvDMBDdC/kP4gLdGjmtKYljOYTQgpcOSTtkPKyz&#10;ZWKdjCXH7r+PAoVu93ifl+9n24kbDb51rGC9SkAQV0633Cj4+f582YDwAVlj55gU/JKHfbF4yjHT&#10;buIT3c6hETGEfYYKTAh9JqWvDFn0K9cTR652g8UQ4dBIPeAUw20nX5PkXVpsOTYY7OloqLqeR6ug&#10;Ml/6cihNQqe0/gj1mL6N21Sp5+V82IEINId/8Z+71HH+Gh6/xANk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DynrBAAAA2wAAAA8AAAAAAAAAAAAAAAAAmAIAAGRycy9kb3du&#10;cmV2LnhtbFBLBQYAAAAABAAEAPUAAACGAwAAAAA=&#10;" adj="13935" fillcolor="#a5a5a5 [3206]" strokecolor="#525252 [1606]" strokeweight="1pt"/>
                <v:shape id="Down Arrow 12" o:spid="_x0000_s1035" type="#_x0000_t67" style="position:absolute;left:9661;top:31745;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UDcEA&#10;AADbAAAADwAAAGRycy9kb3ducmV2LnhtbERPPWvDMBDdA/0P4grZYjmOKa0bJYTSQJYOdjt0PKyz&#10;ZWKdjCU7zr+vCoVu93iftz8uthczjb5zrGCbpCCIa6c7bhV8fZ43zyB8QNbYOyYFd/JwPDys9lho&#10;d+OS5iq0IoawL1CBCWEopPS1IYs+cQNx5Bo3WgwRjq3UI95iuO1llqZP0mLHscHgQG+G6ms1WQW1&#10;+dDfp4tJqcyb99BM+W56yZVaPy6nVxCBlvAv/nNfdJyfwe8v8Q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RVA3BAAAA2wAAAA8AAAAAAAAAAAAAAAAAmAIAAGRycy9kb3du&#10;cmV2LnhtbFBLBQYAAAAABAAEAPUAAACGAwAAAAA=&#10;" adj="13935" fillcolor="#a5a5a5 [3206]" strokecolor="#525252 [1606]" strokeweight="1pt"/>
                <v:shape id="Down Arrow 13" o:spid="_x0000_s1036" type="#_x0000_t67" style="position:absolute;left:9661;top:43649;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xlsEA&#10;AADbAAAADwAAAGRycy9kb3ducmV2LnhtbERPO2vDMBDeC/kP4gLdGjmJCakbJYTQQpYOdjtkPKyz&#10;ZWKdjCU/+u+rQiHbfXzPO5xm24qRet84VrBeJSCIS6cbrhV8f3287EH4gKyxdUwKfsjD6bh4OmCm&#10;3cQ5jUWoRQxhn6ECE0KXSelLQxb9ynXEkatcbzFE2NdS9zjFcNvKTZLspMWGY4PBji6GynsxWAWl&#10;+dS389UklKfVe6iGdDu8pko9L+fzG4hAc3iI/91XHedv4e+XeIA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d8ZbBAAAA2wAAAA8AAAAAAAAAAAAAAAAAmAIAAGRycy9kb3du&#10;cmV2LnhtbFBLBQYAAAAABAAEAPUAAACGAwAAAAA=&#10;" adj="13935" fillcolor="#a5a5a5 [3206]" strokecolor="#525252 [1606]" strokeweight="1pt"/>
                <v:shape id="Down Arrow 14" o:spid="_x0000_s1037" type="#_x0000_t67" style="position:absolute;left:9661;top:55381;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p4sEA&#10;AADbAAAADwAAAGRycy9kb3ducmV2LnhtbERPO2vDMBDeC/kP4gLdGjmtKY0TJYTQgpcOTjpkPKyz&#10;ZWKdjCU/+u+jQKHbfXzP2x1m24qRet84VrBeJSCIS6cbrhX8XL5ePkD4gKyxdUwKfsnDYb942mGm&#10;3cQFjedQixjCPkMFJoQuk9KXhiz6leuII1e53mKIsK+l7nGK4baVr0nyLi02HBsMdnQyVN7Og1VQ&#10;mm99PeYmoSKtPkM1pG/DJlXqeTkftyACzeFf/OfOdZyfwuOXeID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0aeLBAAAA2wAAAA8AAAAAAAAAAAAAAAAAmAIAAGRycy9kb3du&#10;cmV2LnhtbFBLBQYAAAAABAAEAPUAAACGAwAAAAA=&#10;" adj="13935" fillcolor="#a5a5a5 [3206]" strokecolor="#525252 [1606]" strokeweight="1pt"/>
                <w10:wrap type="topAndBottom" anchorx="margin" anchory="line"/>
              </v:group>
            </w:pict>
          </mc:Fallback>
        </mc:AlternateContent>
      </w:r>
      <w:r w:rsidR="00AD6FAE">
        <w:br w:type="page"/>
      </w:r>
    </w:p>
    <w:p w:rsidR="00C54C55" w:rsidRDefault="00450397" w:rsidP="00D24B5B">
      <w:pPr>
        <w:pStyle w:val="Heading2"/>
      </w:pPr>
      <w:r>
        <w:lastRenderedPageBreak/>
        <w:t>Data Sources:</w:t>
      </w:r>
    </w:p>
    <w:p w:rsidR="00450397" w:rsidRDefault="009B47E8" w:rsidP="00D24B5B">
      <w:pPr>
        <w:pStyle w:val="Heading5"/>
      </w:pPr>
      <w:r>
        <w:t>UN Comtrade</w:t>
      </w:r>
    </w:p>
    <w:p w:rsidR="00450397" w:rsidRDefault="004A168E">
      <w:r>
        <w:t xml:space="preserve">Illicit financial flows were estimated from a subset of annual UN Comtrade data where </w:t>
      </w:r>
      <w:r w:rsidR="009616FB">
        <w:t>our preliminary requirements</w:t>
      </w:r>
      <w:r w:rsidR="004B21FF" w:rsidRPr="004B21FF">
        <w:t xml:space="preserve"> hold: (1) non-zero values for the trade are reported by both the reporting country and its partner; (2) non-zero volumes for the trade are reported by both the reporting country and its partner; and, (3) volumes are reported in the same physical units for both the reporting country and its partner.</w:t>
      </w:r>
      <w:r w:rsidR="007C0E91">
        <w:t xml:space="preserve"> The time span used is from 2001 to 2016</w:t>
      </w:r>
      <w:r w:rsidR="003C4109">
        <w:t xml:space="preserve"> and only countries listed in </w:t>
      </w:r>
      <w:r w:rsidR="009142F7">
        <w:fldChar w:fldCharType="begin"/>
      </w:r>
      <w:r w:rsidR="009142F7">
        <w:instrText xml:space="preserve"> REF _Ref4055865 \h </w:instrText>
      </w:r>
      <w:r w:rsidR="009142F7">
        <w:fldChar w:fldCharType="separate"/>
      </w:r>
      <w:r w:rsidR="009142F7">
        <w:t xml:space="preserve">Appendix </w:t>
      </w:r>
      <w:r w:rsidR="009142F7">
        <w:rPr>
          <w:noProof/>
        </w:rPr>
        <w:t>1</w:t>
      </w:r>
      <w:r w:rsidR="009142F7">
        <w:fldChar w:fldCharType="end"/>
      </w:r>
      <w:r w:rsidR="009142F7">
        <w:t xml:space="preserve"> </w:t>
      </w:r>
      <w:r w:rsidR="005C11BD">
        <w:t>were included</w:t>
      </w:r>
      <w:r w:rsidR="007C0E91">
        <w:t>.</w:t>
      </w:r>
    </w:p>
    <w:p w:rsidR="00C14874" w:rsidRDefault="00397558" w:rsidP="00D24B5B">
      <w:pPr>
        <w:pStyle w:val="Heading5"/>
      </w:pPr>
      <w:r w:rsidRPr="00397558">
        <w:t>Census and Statistics Department of the Government of Hong Kong Special Administrative Region</w:t>
      </w:r>
    </w:p>
    <w:p w:rsidR="00C14874" w:rsidRDefault="00614DAC">
      <w:r>
        <w:t>Hong Kong re-export data for adjusting effect of re-export passing Hong Kong in UN Comtrade database.</w:t>
      </w:r>
    </w:p>
    <w:p w:rsidR="0085759B" w:rsidRDefault="0085759B" w:rsidP="00D24B5B">
      <w:pPr>
        <w:pStyle w:val="Heading5"/>
      </w:pPr>
      <w:r w:rsidRPr="00D24B5B">
        <w:rPr>
          <w:rStyle w:val="Heading4Char"/>
        </w:rPr>
        <w:t>NSF-Kellogg Institute for International Studies Data Base on Economic Integration Agreements</w:t>
      </w:r>
      <w:r w:rsidR="000A21E0" w:rsidRPr="00D24B5B">
        <w:rPr>
          <w:rStyle w:val="Heading4Char"/>
        </w:rPr>
        <w:t xml:space="preserve"> (April</w:t>
      </w:r>
      <w:r w:rsidR="000A21E0">
        <w:t xml:space="preserve"> 2017)</w:t>
      </w:r>
    </w:p>
    <w:p w:rsidR="0085759B" w:rsidRDefault="001B2A5B">
      <w:r>
        <w:t>Data of types of regional trade agreement between countries from 1950 to 2012</w:t>
      </w:r>
      <w:r w:rsidR="00E56B22">
        <w:t xml:space="preserve">. GFI used 2012 data for every subsequent year. </w:t>
      </w:r>
      <w:r w:rsidR="00F36EA1">
        <w:t xml:space="preserve">Types of regional trade agreement was used in a regression model to estimate gaps between CIF and FOB reporting, </w:t>
      </w:r>
      <w:r w:rsidR="00044CD9">
        <w:t>in other words, the cost of transportation and insurance.</w:t>
      </w:r>
    </w:p>
    <w:p w:rsidR="00C541F5" w:rsidRDefault="00C541F5" w:rsidP="00D24B5B">
      <w:pPr>
        <w:pStyle w:val="Heading5"/>
      </w:pPr>
      <w:r w:rsidRPr="00C541F5">
        <w:t>Centre d’Études Prospectives et d’Informations Internationales (CEPII)</w:t>
      </w:r>
    </w:p>
    <w:p w:rsidR="00C541F5" w:rsidRDefault="00F00898">
      <w:r>
        <w:t>Geographical information used in the regression model to estimate gaps between CIF and FOB reporting.</w:t>
      </w:r>
    </w:p>
    <w:p w:rsidR="00BC7D1C" w:rsidRDefault="00BC7D1C" w:rsidP="00D24B5B">
      <w:pPr>
        <w:pStyle w:val="Heading5"/>
      </w:pPr>
      <w:r w:rsidRPr="00BC7D1C">
        <w:t>Swiss Customs Administration</w:t>
      </w:r>
    </w:p>
    <w:p w:rsidR="00BC7D1C" w:rsidRDefault="00BC7D1C">
      <w:r w:rsidRPr="00BC7D1C">
        <w:t>Swiss foreign trade in gold, silver and coins by trading partner, 1982-2013</w:t>
      </w:r>
    </w:p>
    <w:p w:rsidR="004B21FF" w:rsidRDefault="00324D85" w:rsidP="00D24B5B">
      <w:pPr>
        <w:pStyle w:val="Heading5"/>
      </w:pPr>
      <w:r>
        <w:t>World Ba</w:t>
      </w:r>
      <w:r w:rsidR="00D24B5B">
        <w:t>nk WITS</w:t>
      </w:r>
      <w:r w:rsidR="00AA380F">
        <w:rPr>
          <w:rStyle w:val="FootnoteReference"/>
        </w:rPr>
        <w:footnoteReference w:id="2"/>
      </w:r>
    </w:p>
    <w:p w:rsidR="00324D85" w:rsidRDefault="004A4444">
      <w:r>
        <w:t>Tariff rates were based on</w:t>
      </w:r>
      <w:r w:rsidR="00EE639E">
        <w:t xml:space="preserve"> weighted</w:t>
      </w:r>
      <w:r>
        <w:t xml:space="preserve"> effectively applied tariff rates in TRAINS and WTO-IDB. In case of </w:t>
      </w:r>
      <w:r w:rsidR="00C14874">
        <w:t>duplication, TRAINS data was used.</w:t>
      </w:r>
    </w:p>
    <w:p w:rsidR="00345E08" w:rsidRDefault="00ED1164" w:rsidP="00D24B5B">
      <w:pPr>
        <w:pStyle w:val="Heading2"/>
      </w:pPr>
      <w:r w:rsidRPr="00ED1164">
        <w:t>Preliminary data treatments</w:t>
      </w:r>
      <w:r>
        <w:t>:</w:t>
      </w:r>
    </w:p>
    <w:p w:rsidR="00ED1164" w:rsidRDefault="00345E08" w:rsidP="0049426F">
      <w:pPr>
        <w:pStyle w:val="Heading5"/>
      </w:pPr>
      <w:r>
        <w:t>N</w:t>
      </w:r>
      <w:r w:rsidRPr="00345E08">
        <w:t>on-reporting of Swiss trade flows of precious metals in Comtrade for years prior to 2012</w:t>
      </w:r>
    </w:p>
    <w:p w:rsidR="00345E08" w:rsidRDefault="0049426F">
      <w:r>
        <w:t>GFI a</w:t>
      </w:r>
      <w:r w:rsidR="00BE5D19">
        <w:t>dded trade data in gold, nonmonetary, unwrought o</w:t>
      </w:r>
      <w:r w:rsidR="00BE5D19" w:rsidRPr="00BE5D19">
        <w:t>thers (other Than Powder)</w:t>
      </w:r>
      <w:r w:rsidR="00BE5D19">
        <w:t xml:space="preserve"> from </w:t>
      </w:r>
      <w:r w:rsidR="00BE5D19" w:rsidRPr="00BC7D1C">
        <w:t>Swiss Customs Administration</w:t>
      </w:r>
      <w:r w:rsidR="00BE5D19">
        <w:t xml:space="preserve"> for 2001 to 2011.</w:t>
      </w:r>
    </w:p>
    <w:p w:rsidR="00281F5F" w:rsidRDefault="00281F5F" w:rsidP="000B7357">
      <w:pPr>
        <w:pStyle w:val="Heading5"/>
      </w:pPr>
      <w:r>
        <w:t>E</w:t>
      </w:r>
      <w:r w:rsidRPr="00281F5F">
        <w:t>ntrepôt trade through Hong Kong</w:t>
      </w:r>
    </w:p>
    <w:p w:rsidR="00281F5F" w:rsidRDefault="006C16A8">
      <w:r>
        <w:t xml:space="preserve">GFI followed OECD’s practice in </w:t>
      </w:r>
      <w:r w:rsidRPr="006C16A8">
        <w:t>BALANCE INTERNATIONAL MERCHANDISE TRADE DATA: VERSION 1</w:t>
      </w:r>
      <w:r>
        <w:t>.</w:t>
      </w:r>
    </w:p>
    <w:p w:rsidR="006C16A8" w:rsidRDefault="00BA013E" w:rsidP="000B7357">
      <w:pPr>
        <w:pStyle w:val="Heading5"/>
      </w:pPr>
      <w:r w:rsidRPr="00BA013E">
        <w:t>Slovakia</w:t>
      </w:r>
      <w:r>
        <w:t xml:space="preserve"> and </w:t>
      </w:r>
      <w:r w:rsidRPr="00BA013E">
        <w:t>Montenegro</w:t>
      </w:r>
    </w:p>
    <w:p w:rsidR="00BA013E" w:rsidRDefault="00BA013E">
      <w:r w:rsidRPr="00BA013E">
        <w:t>Beginni</w:t>
      </w:r>
      <w:r>
        <w:t>ng in 2006, adjust Slovakia</w:t>
      </w:r>
      <w:r w:rsidRPr="00BA013E">
        <w:t xml:space="preserve"> reports to reflect Mo</w:t>
      </w:r>
      <w:r>
        <w:t>ntenegro</w:t>
      </w:r>
      <w:r w:rsidRPr="00BA013E">
        <w:t xml:space="preserve"> indepen</w:t>
      </w:r>
      <w:r>
        <w:t>dently from Serbia-Montegro.</w:t>
      </w:r>
    </w:p>
    <w:p w:rsidR="007E4E5B" w:rsidRDefault="007E4E5B" w:rsidP="000B7357">
      <w:pPr>
        <w:pStyle w:val="Heading2"/>
      </w:pPr>
      <w:r w:rsidRPr="007E4E5B">
        <w:t>FOB equivalents</w:t>
      </w:r>
      <w:r>
        <w:t>:</w:t>
      </w:r>
    </w:p>
    <w:p w:rsidR="007E4E5B" w:rsidRDefault="007E4E5B">
      <w:r w:rsidRPr="007E4E5B">
        <w:t>For those countries that report import values to the United Nations on a CIF basis only, FOB equivalents are calculated using margins predicted by</w:t>
      </w:r>
      <w:r w:rsidR="00B365AA">
        <w:t xml:space="preserve"> a regression model that utilizes geographical information, regional trade agreements, </w:t>
      </w:r>
      <w:r w:rsidR="00B365AA" w:rsidRPr="00B365AA">
        <w:t xml:space="preserve">infrastructure quality (proxied by </w:t>
      </w:r>
      <w:r w:rsidR="00B365AA">
        <w:t>level of development based on IMF</w:t>
      </w:r>
      <w:r w:rsidR="00B365AA" w:rsidRPr="00B365AA">
        <w:t>)</w:t>
      </w:r>
      <w:r w:rsidR="00B365AA">
        <w:t>, global median price (based on reported export prices</w:t>
      </w:r>
      <w:r w:rsidR="0012138F">
        <w:t xml:space="preserve"> at 6-digit level</w:t>
      </w:r>
      <w:r w:rsidR="00B365AA">
        <w:t>)</w:t>
      </w:r>
      <w:r w:rsidR="0012138F">
        <w:t xml:space="preserve">, </w:t>
      </w:r>
      <w:r w:rsidR="00A53CD6">
        <w:t xml:space="preserve">commodity classification methods, and year of trade. The training set </w:t>
      </w:r>
      <w:r w:rsidR="00ED10E3">
        <w:t>wa</w:t>
      </w:r>
      <w:r w:rsidR="00A53CD6">
        <w:t xml:space="preserve">s a subset of </w:t>
      </w:r>
      <w:r w:rsidR="00EE639E">
        <w:t xml:space="preserve">2001 to 2016 </w:t>
      </w:r>
      <w:r w:rsidR="007C511A">
        <w:t>Comtrade data that has been applied preliminary treatments,</w:t>
      </w:r>
      <w:r w:rsidR="00A53189">
        <w:t xml:space="preserve"> </w:t>
      </w:r>
      <w:r w:rsidR="009616FB">
        <w:t>filtered by our preliminary requirements</w:t>
      </w:r>
      <w:r w:rsidR="00A53189">
        <w:t xml:space="preserve">, and </w:t>
      </w:r>
      <w:r w:rsidR="0069114E">
        <w:t>satisfied the following criteria: (</w:t>
      </w:r>
      <w:r w:rsidR="0069114E" w:rsidRPr="0069114E">
        <w:t xml:space="preserve">1) the mirror trade volumes differed by more </w:t>
      </w:r>
      <w:r w:rsidR="0069114E" w:rsidRPr="0069114E">
        <w:lastRenderedPageBreak/>
        <w:t>than 2.5 percent, and (2) the ratio of the (implied) unit values of imports to exports was greater than 1.8 or less than 0.8</w:t>
      </w:r>
      <w:r w:rsidR="0069114E">
        <w:t>.</w:t>
      </w:r>
    </w:p>
    <w:p w:rsidR="00C0717B" w:rsidRDefault="00C0717B" w:rsidP="00C0717B">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Independent Variables in Regression for Gaps between CIF and FOB</w:t>
      </w:r>
    </w:p>
    <w:tbl>
      <w:tblPr>
        <w:tblW w:w="0" w:type="auto"/>
        <w:tblLook w:val="04A0" w:firstRow="1" w:lastRow="0" w:firstColumn="1" w:lastColumn="0" w:noHBand="0" w:noVBand="1"/>
      </w:tblPr>
      <w:tblGrid>
        <w:gridCol w:w="1825"/>
        <w:gridCol w:w="1063"/>
        <w:gridCol w:w="266"/>
        <w:gridCol w:w="6926"/>
      </w:tblGrid>
      <w:tr w:rsidR="00C0717B" w:rsidRPr="00C0717B" w:rsidTr="00121291">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Mnemonic</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Variation</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Description (Source)</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ln_distw</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{i,j}</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 of the weighted distance between i &amp; j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ln_distw_squared</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{i,j}</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ln_distw x ln_distw</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log(uvmdn)</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{t,k}</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 of the median "world" price of good k at time t</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d_contig</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{i,j}</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i and j share a border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d_conti</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{i,j}</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i and j are on the same continent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center"/>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d_rta</w:t>
            </w:r>
          </w:p>
        </w:tc>
        <w:tc>
          <w:tcPr>
            <w:tcW w:w="0" w:type="auto"/>
            <w:tcBorders>
              <w:top w:val="nil"/>
              <w:left w:val="nil"/>
              <w:bottom w:val="single" w:sz="4" w:space="0" w:color="auto"/>
              <w:right w:val="nil"/>
            </w:tcBorders>
            <w:shd w:val="clear" w:color="auto" w:fill="auto"/>
            <w:noWrap/>
            <w:vAlign w:val="center"/>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{t,i,j}</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categorical variable for type of regional trade agreement between i and j in year t (Bergstrand &amp; Baier (2015), extended to 2015 by GFI)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d_landlocked_i</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i is landlocked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d_landlocked_j</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{j}</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j is landlocked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d_dev_i</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i is a developing economy (IMF)</w:t>
            </w:r>
          </w:p>
        </w:tc>
      </w:tr>
      <w:tr w:rsidR="0004432E" w:rsidRPr="00C0717B" w:rsidTr="00121291">
        <w:trPr>
          <w:trHeight w:val="288"/>
        </w:trPr>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d_dev_j</w:t>
            </w:r>
          </w:p>
        </w:tc>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{j}</w:t>
            </w:r>
          </w:p>
        </w:tc>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p>
        </w:tc>
        <w:tc>
          <w:tcPr>
            <w:tcW w:w="0" w:type="auto"/>
            <w:tcBorders>
              <w:top w:val="single" w:sz="4" w:space="0" w:color="auto"/>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j is a developing economy (IMF)</w:t>
            </w:r>
          </w:p>
        </w:tc>
      </w:tr>
      <w:tr w:rsidR="0004432E" w:rsidRPr="00C0717B" w:rsidTr="00121291">
        <w:trPr>
          <w:trHeight w:val="288"/>
        </w:trPr>
        <w:tc>
          <w:tcPr>
            <w:tcW w:w="0" w:type="auto"/>
            <w:tcBorders>
              <w:top w:val="nil"/>
              <w:left w:val="nil"/>
              <w:bottom w:val="single" w:sz="4" w:space="0" w:color="auto"/>
              <w:right w:val="nil"/>
            </w:tcBorders>
            <w:shd w:val="clear" w:color="auto" w:fill="auto"/>
            <w:noWrap/>
            <w:vAlign w:val="bottom"/>
          </w:tcPr>
          <w:p w:rsidR="0004432E" w:rsidRPr="00C0717B" w:rsidRDefault="00733EF2"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d_hs_diff</w:t>
            </w:r>
          </w:p>
        </w:tc>
        <w:tc>
          <w:tcPr>
            <w:tcW w:w="0" w:type="auto"/>
            <w:tcBorders>
              <w:top w:val="nil"/>
              <w:left w:val="nil"/>
              <w:bottom w:val="single" w:sz="4" w:space="0" w:color="auto"/>
              <w:right w:val="nil"/>
            </w:tcBorders>
            <w:shd w:val="clear" w:color="auto" w:fill="auto"/>
            <w:noWrap/>
            <w:vAlign w:val="bottom"/>
          </w:tcPr>
          <w:p w:rsidR="0004432E" w:rsidRPr="00C0717B" w:rsidRDefault="00733EF2"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263DEB">
              <w:rPr>
                <w:rFonts w:ascii="Calibri" w:eastAsia="Times New Roman" w:hAnsi="Calibri" w:cs="Times New Roman"/>
                <w:color w:val="000000"/>
              </w:rPr>
              <w:t>,i,j</w:t>
            </w:r>
            <w:r>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p>
        </w:tc>
        <w:tc>
          <w:tcPr>
            <w:tcW w:w="0" w:type="auto"/>
            <w:tcBorders>
              <w:top w:val="single" w:sz="4" w:space="0" w:color="auto"/>
              <w:left w:val="nil"/>
              <w:bottom w:val="single" w:sz="4" w:space="0" w:color="auto"/>
              <w:right w:val="nil"/>
            </w:tcBorders>
            <w:shd w:val="clear" w:color="auto" w:fill="auto"/>
            <w:noWrap/>
            <w:vAlign w:val="bottom"/>
          </w:tcPr>
          <w:p w:rsidR="0004432E" w:rsidRPr="00C0717B" w:rsidRDefault="00AF274E" w:rsidP="00AF274E">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r>
              <w:rPr>
                <w:rFonts w:ascii="Calibri" w:eastAsia="Times New Roman" w:hAnsi="Calibri" w:cs="Times New Roman"/>
                <w:color w:val="000000"/>
              </w:rPr>
              <w:t>i and j used different HS classification in year t</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263DEB"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d_2001 ... d_2015</w:t>
            </w:r>
          </w:p>
        </w:tc>
        <w:tc>
          <w:tcPr>
            <w:tcW w:w="0" w:type="auto"/>
            <w:tcBorders>
              <w:top w:val="nil"/>
              <w:left w:val="nil"/>
              <w:bottom w:val="single" w:sz="4" w:space="0" w:color="auto"/>
              <w:right w:val="nil"/>
            </w:tcBorders>
            <w:shd w:val="clear" w:color="auto" w:fill="auto"/>
            <w:noWrap/>
            <w:vAlign w:val="bottom"/>
            <w:hideMark/>
          </w:tcPr>
          <w:p w:rsidR="00C0717B" w:rsidRPr="00C0717B" w:rsidRDefault="00AF274E"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nil"/>
              <w:left w:val="nil"/>
              <w:bottom w:val="single" w:sz="4" w:space="0" w:color="auto"/>
              <w:right w:val="nil"/>
            </w:tcBorders>
            <w:shd w:val="clear" w:color="auto" w:fill="auto"/>
            <w:noWrap/>
            <w:vAlign w:val="bottom"/>
            <w:hideMark/>
          </w:tcPr>
          <w:p w:rsidR="00C0717B" w:rsidRPr="00C0717B" w:rsidRDefault="00AF274E"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dummy = 1 for corresponding years</w:t>
            </w:r>
          </w:p>
        </w:tc>
      </w:tr>
    </w:tbl>
    <w:p w:rsidR="00C0717B" w:rsidRDefault="00C0717B"/>
    <w:p w:rsidR="00A53CD6" w:rsidRDefault="00A53CD6" w:rsidP="000B7357">
      <w:pPr>
        <w:pStyle w:val="Heading2"/>
      </w:pPr>
      <w:r>
        <w:t>Weighted trade gaps</w:t>
      </w:r>
      <w:r w:rsidR="00EE639E">
        <w:t>:</w:t>
      </w:r>
    </w:p>
    <w:p w:rsidR="00413BAF" w:rsidRDefault="00A53CD6">
      <w:pPr>
        <w:rPr>
          <w:noProof/>
        </w:rPr>
      </w:pPr>
      <w:r w:rsidRPr="00A53CD6">
        <w:t>Discrepancies in the volumes reported for each mirrored trade are then used to weight the raw trade gaps: a higher weight is applied to a given discrepancy in value the smaller is the associated volume discrepancy</w:t>
      </w:r>
      <w:r w:rsidR="000B7357">
        <w:t>.</w:t>
      </w:r>
      <w:r w:rsidR="00413BAF">
        <w:t xml:space="preserve"> </w:t>
      </w:r>
      <w:r w:rsidR="00F13049" w:rsidRPr="00F13049">
        <w:t>The use of weighted measures (rather than the raw trade gaps) in the Comtrade estimates is intended to improve the reliability of the trade misinvoicing estimates. The weighting scheme is described in formal terms as follows: let QD and QA denote, respectively, the reported volume of trade (of a particular good in a particular year) between a developing country reporter (D) and its advanced-country trade partner (A). The weight applied to the trade gap in value terms was specified as</w:t>
      </w:r>
      <w:r w:rsidR="00F13049" w:rsidRPr="00F13049">
        <w:rPr>
          <w:noProof/>
        </w:rPr>
        <w:t xml:space="preserve"> </w:t>
      </w:r>
    </w:p>
    <w:p w:rsidR="00F13049" w:rsidRDefault="00F13049" w:rsidP="00F13049">
      <w:pPr>
        <w:jc w:val="center"/>
        <w:sectPr w:rsidR="00F13049" w:rsidSect="005D16E6">
          <w:pgSz w:w="12240" w:h="15840"/>
          <w:pgMar w:top="1440" w:right="1080" w:bottom="1440" w:left="1080" w:header="720" w:footer="720" w:gutter="0"/>
          <w:cols w:space="720"/>
          <w:docGrid w:linePitch="360"/>
        </w:sectPr>
      </w:pPr>
      <w:r>
        <w:rPr>
          <w:noProof/>
        </w:rPr>
        <w:drawing>
          <wp:inline distT="0" distB="0" distL="0" distR="0" wp14:anchorId="0C7E9099" wp14:editId="6E7DFF24">
            <wp:extent cx="179070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90700" cy="200025"/>
                    </a:xfrm>
                    <a:prstGeom prst="rect">
                      <a:avLst/>
                    </a:prstGeom>
                  </pic:spPr>
                </pic:pic>
              </a:graphicData>
            </a:graphic>
          </wp:inline>
        </w:drawing>
      </w:r>
    </w:p>
    <w:p w:rsidR="009142F7" w:rsidRDefault="009142F7" w:rsidP="009142F7">
      <w:pPr>
        <w:pStyle w:val="Caption"/>
        <w:keepNext/>
      </w:pPr>
      <w:bookmarkStart w:id="1" w:name="_Ref4055865"/>
      <w:r>
        <w:lastRenderedPageBreak/>
        <w:t xml:space="preserve">Appendix </w:t>
      </w:r>
      <w:r>
        <w:fldChar w:fldCharType="begin"/>
      </w:r>
      <w:r>
        <w:instrText xml:space="preserve"> SEQ Appendix \* ARABIC </w:instrText>
      </w:r>
      <w:r>
        <w:fldChar w:fldCharType="separate"/>
      </w:r>
      <w:r>
        <w:rPr>
          <w:noProof/>
        </w:rPr>
        <w:t>1</w:t>
      </w:r>
      <w:r>
        <w:fldChar w:fldCharType="end"/>
      </w:r>
      <w:bookmarkEnd w:id="1"/>
      <w:r>
        <w:t xml:space="preserve"> </w:t>
      </w:r>
      <w:r w:rsidRPr="00BD7AEE">
        <w:t>Countries Covered in GFI’s Analysis</w:t>
      </w:r>
    </w:p>
    <w:tbl>
      <w:tblPr>
        <w:tblpPr w:leftFromText="180" w:rightFromText="180" w:vertAnchor="text" w:tblpY="-7"/>
        <w:tblW w:w="0" w:type="auto"/>
        <w:tblLook w:val="04A0" w:firstRow="1" w:lastRow="0" w:firstColumn="1" w:lastColumn="0" w:noHBand="0" w:noVBand="1"/>
      </w:tblPr>
      <w:tblGrid>
        <w:gridCol w:w="2339"/>
        <w:gridCol w:w="2533"/>
        <w:gridCol w:w="1865"/>
        <w:gridCol w:w="2396"/>
        <w:gridCol w:w="2691"/>
        <w:gridCol w:w="2000"/>
      </w:tblGrid>
      <w:tr w:rsidR="009142F7" w:rsidRPr="005F7ED4" w:rsidTr="009142F7">
        <w:trPr>
          <w:trHeight w:val="144"/>
        </w:trPr>
        <w:tc>
          <w:tcPr>
            <w:tcW w:w="0" w:type="auto"/>
            <w:gridSpan w:val="5"/>
            <w:tcBorders>
              <w:top w:val="single" w:sz="4" w:space="0" w:color="auto"/>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Developing Economies (148)</w:t>
            </w:r>
          </w:p>
        </w:tc>
        <w:tc>
          <w:tcPr>
            <w:tcW w:w="0" w:type="auto"/>
            <w:vMerge w:val="restart"/>
            <w:tcBorders>
              <w:top w:val="single" w:sz="4" w:space="0" w:color="auto"/>
              <w:left w:val="single" w:sz="4" w:space="0" w:color="auto"/>
              <w:bottom w:val="single" w:sz="4" w:space="0" w:color="000000"/>
              <w:right w:val="nil"/>
            </w:tcBorders>
            <w:shd w:val="clear" w:color="auto" w:fill="auto"/>
            <w:noWrap/>
            <w:vAlign w:val="center"/>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Advanced Economies (36)</w:t>
            </w:r>
          </w:p>
        </w:tc>
      </w:tr>
      <w:tr w:rsidR="009142F7" w:rsidRPr="00601418" w:rsidTr="009142F7">
        <w:trPr>
          <w:trHeight w:val="144"/>
        </w:trPr>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Sub-Saharan Africa (45)</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Asia (25)</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Developing Europe (23)</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Middle East &amp; N. Africa (22)</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Western Hemisphere (33)</w:t>
            </w:r>
          </w:p>
        </w:tc>
        <w:tc>
          <w:tcPr>
            <w:tcW w:w="0" w:type="auto"/>
            <w:vMerge/>
            <w:tcBorders>
              <w:top w:val="single" w:sz="4" w:space="0" w:color="auto"/>
              <w:left w:val="single" w:sz="4" w:space="0" w:color="auto"/>
              <w:bottom w:val="single" w:sz="4" w:space="0" w:color="000000"/>
              <w:right w:val="nil"/>
            </w:tcBorders>
            <w:vAlign w:val="center"/>
            <w:hideMark/>
          </w:tcPr>
          <w:p w:rsidR="009142F7" w:rsidRPr="005F7ED4" w:rsidRDefault="009142F7" w:rsidP="009142F7">
            <w:pPr>
              <w:spacing w:after="0" w:line="240" w:lineRule="auto"/>
              <w:rPr>
                <w:rFonts w:asciiTheme="majorHAnsi" w:eastAsia="Times New Roman" w:hAnsiTheme="majorHAnsi" w:cs="Times New Roman"/>
                <w:b/>
                <w:bCs/>
                <w:color w:val="000000"/>
                <w:sz w:val="16"/>
                <w:szCs w:val="16"/>
              </w:rPr>
            </w:pP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Angola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Bangladesh</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Albania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Afghanistan, Islamic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Antigua and Barbuda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Australia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Benin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Bhutan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Armenia,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Algeria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Argentina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Austria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Botswana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Brunei Darussalam</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Azerbaijan,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Bahrain, Kingdom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Aruba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Belgium</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Burkina Faso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Cambodia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Belarus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Djibouti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Bahamas, The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Canada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Burundi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China, P.R.: Mainland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Bosnia and Herzegovina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Egypt</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Barbados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Cyprus</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Côte d'Ivoire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Fiji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Bulgaria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Iran, Islamic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Belize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Czech Republic</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Cabo Verde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India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Croatia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Iraq</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Bolivia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Denmark</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Cameroon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Indonesia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Georgia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Jordan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Brazil</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Estonia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Central African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Kiribati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Hungary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Kuwait</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Chile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Finland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Chad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Lao People's Democratic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Kazakhstan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Lebanon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Colombia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France</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Comoros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Malaysia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Kyrgyz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Libya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Costa Rica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Germany</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Congo, Democratic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Maldives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Macedonia, FYR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Mauritania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Dominica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Greece</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Congo,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Mongolia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Moldova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Morocco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Dominican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Hong Kong</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Equatorial Guinea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Myanmar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Montenegro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Oman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Ecuador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Iceland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Eritrea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Nepal</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Poland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Pakistan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El Salvador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Ireland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Eswatini, Kingdom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Papua New Guinea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Romania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Qatar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Grenada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Israel</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Ethiopia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Philippines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Russian Federation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Saudi Arabia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Guatemala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Italy</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Gabon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Samoa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Serbia,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Sudan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Guyana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Japan</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Gambia, The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Solomon Islands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Tajikistan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Syrian Arab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Haiti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Korea, Republic of</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Ghana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Sri Lanka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Turkey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Tunisia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Honduras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Latvia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Guinea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Thailand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Turkmenistan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Arab Emirates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Jamaica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Lithuania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Guinea-Bissau</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Timor-Leste, Dem. Rep.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Ukraine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Yemen,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Mexico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Luxembourg</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Kenya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Tonga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Uzbekistan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Nicaragua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Malta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Lesotho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Vanuatu</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Panama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Netherlands</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Liberia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Vietnam</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Paraguay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New Zealand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Madagascar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Peru</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Norway</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Malawi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Kitts and Nevis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Portugal</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Lucia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San Marino</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Mauritius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Vincent and the Grenadines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Singapore</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Mozambique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Suriname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Slovak Republic</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Namibia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Trinidad and Tobago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Slovenia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Niger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Uruguay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Spain</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Nigeria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Venezuela, Republica Bolivariana de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Sweden</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Rwanda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Switzerland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Sao Tome and Principe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Kingdom</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Senegal</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States</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Seychelles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Sierra Leone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Somalia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South Africa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Tanzania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Togo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Uganda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Zambia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Zimbabwe</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5F7ED4" w:rsidTr="009142F7">
        <w:trPr>
          <w:trHeight w:val="144"/>
        </w:trPr>
        <w:tc>
          <w:tcPr>
            <w:tcW w:w="0" w:type="auto"/>
            <w:gridSpan w:val="6"/>
            <w:tcBorders>
              <w:top w:val="single" w:sz="4" w:space="0" w:color="auto"/>
              <w:left w:val="nil"/>
              <w:bottom w:val="single" w:sz="4" w:space="0" w:color="auto"/>
              <w:right w:val="nil"/>
            </w:tcBorders>
            <w:shd w:val="clear" w:color="auto" w:fill="auto"/>
            <w:vAlign w:val="center"/>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Note: The designation of an economy as either "advanced" or "developing" is determined by the International Monetary Fund. Advanced economies are used as a benchmark against which potential trade misinvoicing is estimated. Not every developing country reported bilateral trade with advanced economies in every year published in the DOTS and Comtrade databases.</w:t>
            </w:r>
          </w:p>
        </w:tc>
      </w:tr>
    </w:tbl>
    <w:p w:rsidR="009C7333" w:rsidRPr="000F12F4" w:rsidRDefault="009C7333">
      <w:pPr>
        <w:rPr>
          <w:sz w:val="16"/>
          <w:szCs w:val="16"/>
        </w:rPr>
      </w:pPr>
    </w:p>
    <w:sectPr w:rsidR="009C7333" w:rsidRPr="000F12F4" w:rsidSect="005F7ED4">
      <w:pgSz w:w="15840" w:h="12240" w:orient="landscape" w:code="1"/>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8AC" w:rsidRDefault="002738AC" w:rsidP="00AA380F">
      <w:pPr>
        <w:spacing w:after="0" w:line="240" w:lineRule="auto"/>
      </w:pPr>
      <w:r>
        <w:separator/>
      </w:r>
    </w:p>
  </w:endnote>
  <w:endnote w:type="continuationSeparator" w:id="0">
    <w:p w:rsidR="002738AC" w:rsidRDefault="002738AC" w:rsidP="00AA3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8AC" w:rsidRDefault="002738AC" w:rsidP="00AA380F">
      <w:pPr>
        <w:spacing w:after="0" w:line="240" w:lineRule="auto"/>
      </w:pPr>
      <w:r>
        <w:separator/>
      </w:r>
    </w:p>
  </w:footnote>
  <w:footnote w:type="continuationSeparator" w:id="0">
    <w:p w:rsidR="002738AC" w:rsidRDefault="002738AC" w:rsidP="00AA380F">
      <w:pPr>
        <w:spacing w:after="0" w:line="240" w:lineRule="auto"/>
      </w:pPr>
      <w:r>
        <w:continuationSeparator/>
      </w:r>
    </w:p>
  </w:footnote>
  <w:footnote w:id="1">
    <w:p w:rsidR="00F362EE" w:rsidRDefault="00F362EE">
      <w:pPr>
        <w:pStyle w:val="FootnoteText"/>
      </w:pPr>
      <w:r>
        <w:rPr>
          <w:rStyle w:val="FootnoteReference"/>
        </w:rPr>
        <w:footnoteRef/>
      </w:r>
      <w:r>
        <w:t xml:space="preserve"> Refer to the master flow chart for detailed process in</w:t>
      </w:r>
      <w:bookmarkStart w:id="0" w:name="_GoBack"/>
      <w:bookmarkEnd w:id="0"/>
      <w:r>
        <w:t xml:space="preserve"> a technical aspect.</w:t>
      </w:r>
    </w:p>
  </w:footnote>
  <w:footnote w:id="2">
    <w:p w:rsidR="00AA380F" w:rsidRDefault="00AA380F">
      <w:pPr>
        <w:pStyle w:val="FootnoteText"/>
      </w:pPr>
      <w:r>
        <w:rPr>
          <w:rStyle w:val="FootnoteReference"/>
        </w:rPr>
        <w:footnoteRef/>
      </w:r>
      <w:r>
        <w:t xml:space="preserve"> Only for national reports.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E6"/>
    <w:rsid w:val="0004432E"/>
    <w:rsid w:val="00044CD9"/>
    <w:rsid w:val="000A21E0"/>
    <w:rsid w:val="000B7357"/>
    <w:rsid w:val="000F12F4"/>
    <w:rsid w:val="00121291"/>
    <w:rsid w:val="0012138F"/>
    <w:rsid w:val="001251B3"/>
    <w:rsid w:val="001870A2"/>
    <w:rsid w:val="001B2A5B"/>
    <w:rsid w:val="002312CE"/>
    <w:rsid w:val="00263DEB"/>
    <w:rsid w:val="002738AC"/>
    <w:rsid w:val="00281F5F"/>
    <w:rsid w:val="002955B4"/>
    <w:rsid w:val="00324D85"/>
    <w:rsid w:val="0033162A"/>
    <w:rsid w:val="003360D7"/>
    <w:rsid w:val="00345E08"/>
    <w:rsid w:val="00363B6C"/>
    <w:rsid w:val="00397558"/>
    <w:rsid w:val="003C4109"/>
    <w:rsid w:val="00413BAF"/>
    <w:rsid w:val="00450397"/>
    <w:rsid w:val="0049426F"/>
    <w:rsid w:val="004A168E"/>
    <w:rsid w:val="004A4444"/>
    <w:rsid w:val="004B21FF"/>
    <w:rsid w:val="005C11BD"/>
    <w:rsid w:val="005D16E6"/>
    <w:rsid w:val="005F7ED4"/>
    <w:rsid w:val="00601418"/>
    <w:rsid w:val="00614DAC"/>
    <w:rsid w:val="0069114E"/>
    <w:rsid w:val="006C16A8"/>
    <w:rsid w:val="00733EF2"/>
    <w:rsid w:val="007C0E91"/>
    <w:rsid w:val="007C511A"/>
    <w:rsid w:val="007E4E5B"/>
    <w:rsid w:val="0085759B"/>
    <w:rsid w:val="009142F7"/>
    <w:rsid w:val="009616FB"/>
    <w:rsid w:val="009B47E8"/>
    <w:rsid w:val="009C7333"/>
    <w:rsid w:val="00A53189"/>
    <w:rsid w:val="00A53CD6"/>
    <w:rsid w:val="00AA380F"/>
    <w:rsid w:val="00AD6FAE"/>
    <w:rsid w:val="00AE620E"/>
    <w:rsid w:val="00AF274E"/>
    <w:rsid w:val="00B13295"/>
    <w:rsid w:val="00B365AA"/>
    <w:rsid w:val="00B63347"/>
    <w:rsid w:val="00BA013E"/>
    <w:rsid w:val="00BC3C89"/>
    <w:rsid w:val="00BC7D1C"/>
    <w:rsid w:val="00BE5D19"/>
    <w:rsid w:val="00C0717B"/>
    <w:rsid w:val="00C14874"/>
    <w:rsid w:val="00C541F5"/>
    <w:rsid w:val="00C66B3A"/>
    <w:rsid w:val="00D24B5B"/>
    <w:rsid w:val="00E56B22"/>
    <w:rsid w:val="00ED10E3"/>
    <w:rsid w:val="00ED1164"/>
    <w:rsid w:val="00EE639E"/>
    <w:rsid w:val="00EE6A8F"/>
    <w:rsid w:val="00F00898"/>
    <w:rsid w:val="00F13049"/>
    <w:rsid w:val="00F362EE"/>
    <w:rsid w:val="00F36EA1"/>
    <w:rsid w:val="00F82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4BDD2-E77C-4A3F-9FE8-C57D942C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4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4B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4B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42F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4B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4B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24B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4B5B"/>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33162A"/>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A3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80F"/>
    <w:rPr>
      <w:sz w:val="20"/>
      <w:szCs w:val="20"/>
    </w:rPr>
  </w:style>
  <w:style w:type="character" w:styleId="FootnoteReference">
    <w:name w:val="footnote reference"/>
    <w:basedOn w:val="DefaultParagraphFont"/>
    <w:uiPriority w:val="99"/>
    <w:semiHidden/>
    <w:unhideWhenUsed/>
    <w:rsid w:val="00AA38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7145">
      <w:bodyDiv w:val="1"/>
      <w:marLeft w:val="0"/>
      <w:marRight w:val="0"/>
      <w:marTop w:val="0"/>
      <w:marBottom w:val="0"/>
      <w:divBdr>
        <w:top w:val="none" w:sz="0" w:space="0" w:color="auto"/>
        <w:left w:val="none" w:sz="0" w:space="0" w:color="auto"/>
        <w:bottom w:val="none" w:sz="0" w:space="0" w:color="auto"/>
        <w:right w:val="none" w:sz="0" w:space="0" w:color="auto"/>
      </w:divBdr>
    </w:div>
    <w:div w:id="915014376">
      <w:bodyDiv w:val="1"/>
      <w:marLeft w:val="0"/>
      <w:marRight w:val="0"/>
      <w:marTop w:val="0"/>
      <w:marBottom w:val="0"/>
      <w:divBdr>
        <w:top w:val="none" w:sz="0" w:space="0" w:color="auto"/>
        <w:left w:val="none" w:sz="0" w:space="0" w:color="auto"/>
        <w:bottom w:val="none" w:sz="0" w:space="0" w:color="auto"/>
        <w:right w:val="none" w:sz="0" w:space="0" w:color="auto"/>
      </w:divBdr>
    </w:div>
    <w:div w:id="1928465765">
      <w:bodyDiv w:val="1"/>
      <w:marLeft w:val="0"/>
      <w:marRight w:val="0"/>
      <w:marTop w:val="0"/>
      <w:marBottom w:val="0"/>
      <w:divBdr>
        <w:top w:val="none" w:sz="0" w:space="0" w:color="auto"/>
        <w:left w:val="none" w:sz="0" w:space="0" w:color="auto"/>
        <w:bottom w:val="none" w:sz="0" w:space="0" w:color="auto"/>
        <w:right w:val="none" w:sz="0" w:space="0" w:color="auto"/>
      </w:divBdr>
    </w:div>
    <w:div w:id="201113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D9B84-1723-46EA-8609-D4007FE8B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6</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CITadmin</dc:creator>
  <cp:keywords/>
  <dc:description/>
  <cp:lastModifiedBy>CITadmin</cp:lastModifiedBy>
  <cp:revision>63</cp:revision>
  <dcterms:created xsi:type="dcterms:W3CDTF">2019-03-20T13:35:00Z</dcterms:created>
  <dcterms:modified xsi:type="dcterms:W3CDTF">2019-05-21T21:00:00Z</dcterms:modified>
</cp:coreProperties>
</file>