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use built-in jQuery functions to “listen” for click events and then alter the UI by editing the CSS and appending a div.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real power of JavaScript lies in its ability to make a website dynamic and full of interactions. Event listeners in JavaScript monitor interactions (clicking, scrolling, etc.) on your website and initiate actions based on a user’s activity.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and read through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the .zip file.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will see the skeleton of an event listener already created in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that you invoke jQuery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 in front of your function to use jQuery specific functions.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on()</w:t>
      </w:r>
      <w:r w:rsidDel="00000000" w:rsidR="00000000" w:rsidRPr="00000000">
        <w:rPr>
          <w:rtl w:val="0"/>
        </w:rPr>
        <w:t xml:space="preserve"> function adds an event handler to the targeted element/class/ID.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placeholder indicates what event will trigger the following code.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remaining syntax should look familiar with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exception. This function doesn’t have a name and therefore can’t be called later; it will only listen for a specific click event.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code within the curly braces will execute when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is triggered.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Step 1: Hide a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On the first line of this skeleton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button1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Remember: You can target elements, classes, and IDs in jQuery like this:</w:t>
      </w:r>
      <w:r w:rsidDel="00000000" w:rsidR="00000000" w:rsidRPr="00000000">
        <w:rPr>
          <w:rtl w:val="0"/>
        </w:rPr>
      </w:r>
    </w:p>
    <w:tbl>
      <w:tblPr>
        <w:tblStyle w:val="Table2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Elements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Classes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".className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IDs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"#idName"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specify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as the event you want to trigger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Inside the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hideMe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that you can call a function on a selected element/class/ID like this: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first button and see your jQuery in action.</w:t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Change a Color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button2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copy the previous function and modify it as needed.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this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the syntax for this function: 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"property", "value"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second button.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Append Content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button3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appendMe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This function allows you to append content (text or HTML) to a selected element/class/ID.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"thingToAppend"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Append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"&lt;div class='child'&gt;I got appended! Nice!&lt;/div&gt;"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the page in your browser. Click on the third button.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Heading1"/>
      <w:pageBreakBefore w:val="0"/>
      <w:jc w:val="left"/>
      <w:rPr/>
    </w:pPr>
    <w:bookmarkStart w:colFirst="0" w:colLast="0" w:name="_uaspqcpqdbg3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pageBreakBefore w:val="0"/>
      <w:rPr/>
    </w:pPr>
    <w:bookmarkStart w:colFirst="0" w:colLast="0" w:name="_39i0phvcg1t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.on Function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