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Competitive Landscape — AI Strategy</w:t>
      </w:r>
    </w:p>
    <w:p>
      <w:pPr>
        <w:jc w:val="center"/>
      </w:pPr>
      <w:r>
        <w:rPr>
          <w:i/>
          <w:color w:val="666666"/>
        </w:rPr>
        <w:t>Meridian Investor Day Prep  •  Asana, Monday.com, Smartsheet, Atlassian</w:t>
      </w:r>
    </w:p>
    <w:p/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  <w:gridCol w:w="2880"/>
        <w:gridCol w:w="2880"/>
      </w:tblGrid>
      <w:tr>
        <w:tc>
          <w:tcPr>
            <w:tcW w:type="dxa" w:w="2160"/>
            <w:shd w:fill="2c3e50"/>
            <w:vAlign w:val="center"/>
          </w:tcPr>
          <w:p>
            <w:r>
              <w:rPr>
                <w:b/>
                <w:color w:val="FFFFFF"/>
                <w:sz w:val="22"/>
              </w:rPr>
              <w:t>Dimension</w:t>
            </w:r>
          </w:p>
        </w:tc>
        <w:tc>
          <w:tcPr>
            <w:tcW w:type="dxa" w:w="3168"/>
            <w:shd w:fill="2c3e50"/>
            <w:vAlign w:val="center"/>
          </w:tcPr>
          <w:p>
            <w:r>
              <w:rPr>
                <w:b/>
                <w:color w:val="FFFFFF"/>
                <w:sz w:val="22"/>
              </w:rPr>
              <w:t>Asana</w:t>
            </w:r>
          </w:p>
        </w:tc>
        <w:tc>
          <w:tcPr>
            <w:tcW w:type="dxa" w:w="3168"/>
            <w:shd w:fill="2c3e50"/>
            <w:vAlign w:val="center"/>
          </w:tcPr>
          <w:p>
            <w:r>
              <w:rPr>
                <w:b/>
                <w:color w:val="FFFFFF"/>
                <w:sz w:val="22"/>
              </w:rPr>
              <w:t>Monday.com</w:t>
            </w:r>
          </w:p>
        </w:tc>
        <w:tc>
          <w:tcPr>
            <w:tcW w:type="dxa" w:w="3168"/>
            <w:shd w:fill="2c3e50"/>
            <w:vAlign w:val="center"/>
          </w:tcPr>
          <w:p>
            <w:r>
              <w:rPr>
                <w:b/>
                <w:color w:val="FFFFFF"/>
                <w:sz w:val="22"/>
              </w:rPr>
              <w:t>Smartsheet</w:t>
            </w:r>
          </w:p>
        </w:tc>
        <w:tc>
          <w:tcPr>
            <w:tcW w:type="dxa" w:w="3168"/>
            <w:shd w:fill="2c3e50"/>
            <w:vAlign w:val="center"/>
          </w:tcPr>
          <w:p>
            <w:r>
              <w:rPr>
                <w:b/>
                <w:color w:val="FFFFFF"/>
                <w:sz w:val="22"/>
              </w:rPr>
              <w:t>Atlassian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b/>
                <w:sz w:val="18"/>
              </w:rPr>
              <w:t>Public AI positioning</w:t>
            </w:r>
          </w:p>
        </w:tc>
        <w:tc>
          <w:tcPr>
            <w:tcW w:type="dxa" w:w="3168"/>
            <w:vAlign w:val="top"/>
          </w:tcPr>
          <w:p>
            <w:r>
              <w:rPr>
                <w:sz w:val="18"/>
              </w:rPr>
              <w:t>"Work management platform with AI built in" — soft-agentic language ("Asana as an agent OS")</w:t>
            </w:r>
          </w:p>
        </w:tc>
        <w:tc>
          <w:tcPr>
            <w:tcW w:type="dxa" w:w="3168"/>
            <w:vAlign w:val="top"/>
          </w:tcPr>
          <w:p>
            <w:r>
              <w:rPr>
                <w:sz w:val="18"/>
              </w:rPr>
              <w:t>"Work OS, supercharged with AI" — AI as a layer across the platform, not a separate product</w:t>
            </w:r>
          </w:p>
        </w:tc>
        <w:tc>
          <w:tcPr>
            <w:tcW w:type="dxa" w:w="3168"/>
            <w:vAlign w:val="top"/>
          </w:tcPr>
          <w:p>
            <w:r>
              <w:rPr>
                <w:sz w:val="18"/>
              </w:rPr>
              <w:t>"The enterprise work platform you can trust with AI" — explicitly rejects "agentic" framing</w:t>
            </w:r>
          </w:p>
        </w:tc>
        <w:tc>
          <w:tcPr>
            <w:tcW w:type="dxa" w:w="3168"/>
            <w:vAlign w:val="top"/>
          </w:tcPr>
          <w:p>
            <w:r>
              <w:rPr>
                <w:sz w:val="18"/>
              </w:rPr>
              <w:t>"The agentic enterprise platform for software and IT teams" — most committed to agent positioning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b/>
                <w:sz w:val="18"/>
              </w:rPr>
              <w:t>Brand / product name</w:t>
            </w:r>
          </w:p>
        </w:tc>
        <w:tc>
          <w:tcPr>
            <w:tcW w:type="dxa" w:w="3168"/>
            <w:vAlign w:val="top"/>
          </w:tcPr>
          <w:p>
            <w:r>
              <w:rPr>
                <w:sz w:val="18"/>
              </w:rPr>
              <w:t>AI Studio, Smart Workflows</w:t>
            </w:r>
          </w:p>
        </w:tc>
        <w:tc>
          <w:tcPr>
            <w:tcW w:type="dxa" w:w="3168"/>
            <w:vAlign w:val="top"/>
          </w:tcPr>
          <w:p>
            <w:r>
              <w:rPr>
                <w:sz w:val="18"/>
              </w:rPr>
              <w:t>monday AI, monday AI Agents</w:t>
            </w:r>
          </w:p>
        </w:tc>
        <w:tc>
          <w:tcPr>
            <w:tcW w:type="dxa" w:w="3168"/>
            <w:vAlign w:val="top"/>
          </w:tcPr>
          <w:p>
            <w:r>
              <w:rPr>
                <w:sz w:val="18"/>
              </w:rPr>
              <w:t>Smartsheet AI, AI Compliance Pack</w:t>
            </w:r>
          </w:p>
        </w:tc>
        <w:tc>
          <w:tcPr>
            <w:tcW w:type="dxa" w:w="3168"/>
            <w:vAlign w:val="top"/>
          </w:tcPr>
          <w:p>
            <w:r>
              <w:rPr>
                <w:sz w:val="18"/>
              </w:rPr>
              <w:t>Rovo, Rovo Studio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b/>
                <w:sz w:val="18"/>
              </w:rPr>
              <w:t>Pricing posture</w:t>
            </w:r>
          </w:p>
        </w:tc>
        <w:tc>
          <w:tcPr>
            <w:tcW w:type="dxa" w:w="3168"/>
            <w:vAlign w:val="top"/>
          </w:tcPr>
          <w:p>
            <w:r>
              <w:rPr>
                <w:sz w:val="18"/>
              </w:rPr>
              <w:t>Bundled into Advanced &amp; Enterprise tiers, no extra cost</w:t>
            </w:r>
          </w:p>
        </w:tc>
        <w:tc>
          <w:tcPr>
            <w:tcW w:type="dxa" w:w="3168"/>
            <w:vAlign w:val="top"/>
          </w:tcPr>
          <w:p>
            <w:r>
              <w:rPr>
                <w:sz w:val="18"/>
              </w:rPr>
              <w:t>Bundled into Pro tier and above, no extra cost</w:t>
            </w:r>
          </w:p>
        </w:tc>
        <w:tc>
          <w:tcPr>
            <w:tcW w:type="dxa" w:w="3168"/>
            <w:vAlign w:val="top"/>
          </w:tcPr>
          <w:p>
            <w:r>
              <w:rPr>
                <w:sz w:val="18"/>
              </w:rPr>
              <w:t>Base AI bundled into Business / Enterprise; Compliance Pack premium add-on ~$15/seat/mo (enterprise only)</w:t>
            </w:r>
          </w:p>
        </w:tc>
        <w:tc>
          <w:tcPr>
            <w:tcW w:type="dxa" w:w="3168"/>
            <w:vAlign w:val="top"/>
          </w:tcPr>
          <w:p>
            <w:r>
              <w:rPr>
                <w:sz w:val="18"/>
              </w:rPr>
              <w:t>Consumption hybrid — separate paid product; ~$20/seat/mo + per-action consumption above a baseline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b/>
                <w:sz w:val="18"/>
              </w:rPr>
              <w:t>Flagship announcement (last 6 mo.)</w:t>
            </w:r>
          </w:p>
        </w:tc>
        <w:tc>
          <w:tcPr>
            <w:tcW w:type="dxa" w:w="3168"/>
            <w:vAlign w:val="top"/>
          </w:tcPr>
          <w:p>
            <w:r>
              <w:rPr>
                <w:sz w:val="18"/>
              </w:rPr>
              <w:t>Nov 2025: bundled AI Studio + Smart Workflows into Advanced / Enterprise tiers at no extra cost</w:t>
            </w:r>
          </w:p>
        </w:tc>
        <w:tc>
          <w:tcPr>
            <w:tcW w:type="dxa" w:w="3168"/>
            <w:vAlign w:val="top"/>
          </w:tcPr>
          <w:p>
            <w:r>
              <w:rPr>
                <w:sz w:val="18"/>
              </w:rPr>
              <w:t>Jan 2026: GA of customer-buildable monday AI Agents, bundled into Pro+</w:t>
            </w:r>
          </w:p>
        </w:tc>
        <w:tc>
          <w:tcPr>
            <w:tcW w:type="dxa" w:w="3168"/>
            <w:vAlign w:val="top"/>
          </w:tcPr>
          <w:p>
            <w:r>
              <w:rPr>
                <w:sz w:val="18"/>
              </w:rPr>
              <w:t>Dec 2025: AI Compliance Pack — agent audit logs, model selection, data residency, content filtering</w:t>
            </w:r>
          </w:p>
        </w:tc>
        <w:tc>
          <w:tcPr>
            <w:tcW w:type="dxa" w:w="3168"/>
            <w:vAlign w:val="top"/>
          </w:tcPr>
          <w:p>
            <w:r>
              <w:rPr>
                <w:sz w:val="18"/>
              </w:rPr>
              <w:t>Jan 2026: Rovo Studio — developer-targeted agent builder running natively on Jira / Confluence / Bitbucket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b/>
                <w:sz w:val="18"/>
              </w:rPr>
              <w:t>Model posture</w:t>
            </w:r>
          </w:p>
        </w:tc>
        <w:tc>
          <w:tcPr>
            <w:tcW w:type="dxa" w:w="3168"/>
            <w:vAlign w:val="top"/>
          </w:tcPr>
          <w:p>
            <w:r>
              <w:rPr>
                <w:sz w:val="18"/>
              </w:rPr>
              <w:t>Studiously model-agnostic</w:t>
            </w:r>
          </w:p>
        </w:tc>
        <w:tc>
          <w:tcPr>
            <w:tcW w:type="dxa" w:w="3168"/>
            <w:vAlign w:val="top"/>
          </w:tcPr>
          <w:p>
            <w:r>
              <w:rPr>
                <w:sz w:val="18"/>
              </w:rPr>
              <w:t>Multi-model, no lab named</w:t>
            </w:r>
          </w:p>
        </w:tc>
        <w:tc>
          <w:tcPr>
            <w:tcW w:type="dxa" w:w="3168"/>
            <w:vAlign w:val="top"/>
          </w:tcPr>
          <w:p>
            <w:r>
              <w:rPr>
                <w:sz w:val="18"/>
              </w:rPr>
              <w:t>BYO-model in Compliance Pack</w:t>
            </w:r>
          </w:p>
        </w:tc>
        <w:tc>
          <w:tcPr>
            <w:tcW w:type="dxa" w:w="3168"/>
            <w:vAlign w:val="top"/>
          </w:tcPr>
          <w:p>
            <w:r>
              <w:rPr>
                <w:sz w:val="18"/>
              </w:rPr>
              <w:t>References Anthropic by name (only one of the four)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b/>
                <w:sz w:val="18"/>
              </w:rPr>
              <w:t>Governance strength</w:t>
            </w:r>
          </w:p>
        </w:tc>
        <w:tc>
          <w:tcPr>
            <w:tcW w:type="dxa" w:w="3168"/>
            <w:vAlign w:val="top"/>
          </w:tcPr>
          <w:p>
            <w:r>
              <w:rPr>
                <w:sz w:val="18"/>
              </w:rPr>
              <w:t>Weak; lags Meridian materially</w:t>
            </w:r>
          </w:p>
        </w:tc>
        <w:tc>
          <w:tcPr>
            <w:tcW w:type="dxa" w:w="3168"/>
            <w:vAlign w:val="top"/>
          </w:tcPr>
          <w:p>
            <w:r>
              <w:rPr>
                <w:sz w:val="18"/>
              </w:rPr>
              <w:t>Limited — no FedRAMP, minimal HIPAA, no pharma vertical</w:t>
            </w:r>
          </w:p>
        </w:tc>
        <w:tc>
          <w:tcPr>
            <w:tcW w:type="dxa" w:w="3168"/>
            <w:vAlign w:val="top"/>
          </w:tcPr>
          <w:p>
            <w:r>
              <w:rPr>
                <w:sz w:val="18"/>
              </w:rPr>
              <w:t>Strongest of the four — governance is the explicit through-line</w:t>
            </w:r>
          </w:p>
        </w:tc>
        <w:tc>
          <w:tcPr>
            <w:tcW w:type="dxa" w:w="3168"/>
            <w:vAlign w:val="top"/>
          </w:tcPr>
          <w:p>
            <w:r>
              <w:rPr>
                <w:sz w:val="18"/>
              </w:rPr>
              <w:t>Strong inside engineering / IT; thin outside dev orgs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b/>
                <w:sz w:val="18"/>
              </w:rPr>
              <w:t>Closest to Meridian option</w:t>
            </w:r>
          </w:p>
        </w:tc>
        <w:tc>
          <w:tcPr>
            <w:tcW w:type="dxa" w:w="3168"/>
            <w:vAlign w:val="top"/>
          </w:tcPr>
          <w:p>
            <w:r>
              <w:rPr>
                <w:sz w:val="18"/>
              </w:rPr>
              <w:t>B (Agentic) — but with bundled pricing and weak governance</w:t>
            </w:r>
          </w:p>
        </w:tc>
        <w:tc>
          <w:tcPr>
            <w:tcW w:type="dxa" w:w="3168"/>
            <w:vAlign w:val="top"/>
          </w:tcPr>
          <w:p>
            <w:r>
              <w:rPr>
                <w:sz w:val="18"/>
              </w:rPr>
              <w:t>A in framing, executed as B-lite — broad and cheap, not deep</w:t>
            </w:r>
          </w:p>
        </w:tc>
        <w:tc>
          <w:tcPr>
            <w:tcW w:type="dxa" w:w="3168"/>
            <w:vAlign w:val="top"/>
          </w:tcPr>
          <w:p>
            <w:r>
              <w:rPr>
                <w:sz w:val="18"/>
              </w:rPr>
              <w:t>A (PM-with-AI) — the explicit Option A peer</w:t>
            </w:r>
          </w:p>
        </w:tc>
        <w:tc>
          <w:tcPr>
            <w:tcW w:type="dxa" w:w="3168"/>
            <w:vAlign w:val="top"/>
          </w:tcPr>
          <w:p>
            <w:r>
              <w:rPr>
                <w:sz w:val="18"/>
              </w:rPr>
              <w:t>B (Agentic platform) — the explicit Option B peer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b/>
                <w:sz w:val="18"/>
              </w:rPr>
              <w:t>What it means for Meridian if we pick B</w:t>
            </w:r>
          </w:p>
        </w:tc>
        <w:tc>
          <w:tcPr>
            <w:tcW w:type="dxa" w:w="3168"/>
            <w:vAlign w:val="top"/>
          </w:tcPr>
          <w:p>
            <w:r>
              <w:rPr>
                <w:sz w:val="18"/>
              </w:rPr>
              <w:t>Asana looks like the broader / cheaper agent; we differentiate on governance</w:t>
            </w:r>
          </w:p>
        </w:tc>
        <w:tc>
          <w:tcPr>
            <w:tcW w:type="dxa" w:w="3168"/>
            <w:vAlign w:val="top"/>
          </w:tcPr>
          <w:p>
            <w:r>
              <w:rPr>
                <w:sz w:val="18"/>
              </w:rPr>
              <w:t>Monday is the cheaper bundled alternative; we differentiate on enterprise depth</w:t>
            </w:r>
          </w:p>
        </w:tc>
        <w:tc>
          <w:tcPr>
            <w:tcW w:type="dxa" w:w="3168"/>
            <w:vAlign w:val="top"/>
          </w:tcPr>
          <w:p>
            <w:r>
              <w:rPr>
                <w:sz w:val="18"/>
              </w:rPr>
              <w:t>Smartsheet is our cautious cousin — we tell the "saw the shift earlier" story</w:t>
            </w:r>
          </w:p>
        </w:tc>
        <w:tc>
          <w:tcPr>
            <w:tcW w:type="dxa" w:w="3168"/>
            <w:vAlign w:val="top"/>
          </w:tcPr>
          <w:p>
            <w:r>
              <w:rPr>
                <w:sz w:val="18"/>
              </w:rPr>
              <w:t>The direct comparable — analysts will ask "why Meridian not Atlassian?" Answer: regulated-industry breadth Atlassian doesn't serve</w:t>
            </w:r>
          </w:p>
        </w:tc>
      </w:tr>
    </w:tbl>
    <w:p/>
    <w:p>
      <w:r>
        <w:rPr>
          <w:b/>
          <w:sz w:val="26"/>
        </w:rPr>
        <w:t>The quadrant 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00"/>
        <w:gridCol w:w="4800"/>
        <w:gridCol w:w="4800"/>
      </w:tblGrid>
      <w:tr>
        <w:tc>
          <w:tcPr>
            <w:tcW w:type="dxa" w:w="4800"/>
            <w:shd w:fill="2c3e50"/>
          </w:tcPr>
          <w:p>
            <w:r>
              <w:rPr>
                <w:b/>
                <w:color w:val="FFFFFF"/>
                <w:sz w:val="22"/>
              </w:rPr>
            </w:r>
          </w:p>
        </w:tc>
        <w:tc>
          <w:tcPr>
            <w:tcW w:type="dxa" w:w="4800"/>
            <w:shd w:fill="2c3e50"/>
          </w:tcPr>
          <w:p>
            <w:r>
              <w:rPr>
                <w:b/>
                <w:color w:val="FFFFFF"/>
                <w:sz w:val="22"/>
              </w:rPr>
              <w:t>PM-with-AI</w:t>
            </w:r>
          </w:p>
        </w:tc>
        <w:tc>
          <w:tcPr>
            <w:tcW w:type="dxa" w:w="4800"/>
            <w:shd w:fill="2c3e50"/>
          </w:tcPr>
          <w:p>
            <w:r>
              <w:rPr>
                <w:b/>
                <w:color w:val="FFFFFF"/>
                <w:sz w:val="22"/>
              </w:rPr>
              <w:t>Agentic Platform</w:t>
            </w:r>
          </w:p>
        </w:tc>
      </w:tr>
      <w:tr>
        <w:tc>
          <w:tcPr>
            <w:tcW w:type="dxa" w:w="4800"/>
          </w:tcPr>
          <w:p>
            <w:r>
              <w:rPr>
                <w:b/>
                <w:sz w:val="20"/>
              </w:rPr>
              <w:t>Bundled / consumer-friendly pricing</w:t>
            </w:r>
          </w:p>
        </w:tc>
        <w:tc>
          <w:tcPr>
            <w:tcW w:type="dxa" w:w="4800"/>
          </w:tcPr>
          <w:p>
            <w:r>
              <w:rPr>
                <w:sz w:val="20"/>
              </w:rPr>
              <w:t>Monday.com</w:t>
            </w:r>
          </w:p>
        </w:tc>
        <w:tc>
          <w:tcPr>
            <w:tcW w:type="dxa" w:w="4800"/>
          </w:tcPr>
          <w:p>
            <w:r>
              <w:rPr>
                <w:sz w:val="20"/>
              </w:rPr>
              <w:t>Asana</w:t>
            </w:r>
          </w:p>
        </w:tc>
      </w:tr>
      <w:tr>
        <w:tc>
          <w:tcPr>
            <w:tcW w:type="dxa" w:w="4800"/>
          </w:tcPr>
          <w:p>
            <w:r>
              <w:rPr>
                <w:b/>
                <w:sz w:val="20"/>
              </w:rPr>
              <w:t>Premium / governance-led pricing</w:t>
            </w:r>
          </w:p>
        </w:tc>
        <w:tc>
          <w:tcPr>
            <w:tcW w:type="dxa" w:w="4800"/>
          </w:tcPr>
          <w:p>
            <w:r>
              <w:rPr>
                <w:sz w:val="20"/>
              </w:rPr>
              <w:t>Smartsheet</w:t>
            </w:r>
          </w:p>
        </w:tc>
        <w:tc>
          <w:tcPr>
            <w:tcW w:type="dxa" w:w="4800"/>
          </w:tcPr>
          <w:p>
            <w:r>
              <w:rPr>
                <w:b/>
                <w:color w:val="C0392B"/>
                <w:sz w:val="20"/>
              </w:rPr>
              <w:t>Atlassian — and Meridian (proposed)</w:t>
            </w:r>
          </w:p>
        </w:tc>
      </w:tr>
    </w:tbl>
    <w:p/>
    <w:p>
      <w:r>
        <w:rPr>
          <w:i/>
          <w:color w:val="444444"/>
          <w:sz w:val="20"/>
        </w:rPr>
        <w:t>White space: no competitor today occupies the agentic-platform-with-strong-broad-governance quadrant. Atlassian is the nearest, but its governance story is dev-centric. That is the slot Meridian is proposed to claim at Investor Day.</w:t>
      </w:r>
    </w:p>
    <w:sectPr w:rsidR="00FC693F" w:rsidRPr="0006063C" w:rsidSect="00034616">
      <w:pgSz w:w="15840" w:h="12240" w:orient="landscape"/>
      <w:pgMar w:top="864" w:right="720" w:bottom="864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