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Pranav Nambiar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