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eastAsia="Microsoft YaHei" w:hAnsi="Arial"/>
          <w:b/>
          <w:bCs/>
          <w:sz w:val="32"/>
          <w:szCs w:val="32"/>
        </w:rPr>
        <w:t xml:space="preserve">AI算法中心-大模型交付开发组
2026年Q2工作总结</w:t>
      </w:r>
    </w:p>
    <w:p>
      <w:pPr>
        <w:spacing w:after="20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一、整体完成情况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Q2围绕「智驭-智能体操作系统」并行推进OS 1.0和OS 2.0，合计完成122项任务，完成率100%。OS 1.0完成70项（Git提交615次），覆盖20个功能分组；OS 2.0在6月10日至30日的20天内完成52项子任务（Git提交248次），覆盖12个功能分组。</w:t>
      </w:r>
    </w:p>
    <w:p>
      <w:pPr>
        <w:spacing w:after="20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二、OS 1.0主要成果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智能体管理：实现智能体全生命周期管理及多租户隔离，支撑产品商业化。技能池：全面DB化+可视化编辑器，降低技能配置门槛。记忆模块：持久化记忆进化能力，使智能体具备持续学习能力。沙箱执行：新增Docker/K8s执行环境，支持大规模安全部署。MCP集成：标准化智能体与外部数据服务的连接协议。A2A协作：实现多智能体远程协同，满足复杂业务场景。评测体系：基准库+评测集+排行榜，支持智能体效果量化评估。安全权限：多租户RBAC+审计日志，满足企业准入门槛。部署兼容：达梦、人大金仓、MySQL三库兼容，满足信创需求，拓展政务国企市场。</w:t>
      </w:r>
    </w:p>
    <w:p>
      <w:pPr>
        <w:spacing w:after="20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三、OS 2.0主要成果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存储架构：全面转向PostgreSQL持久化，降低运维复杂度。记忆重构：ChromaDB向量记忆+MemoryRouter多后端路由，测试覆盖率59%→98%。团队编排：嵌套团队编排+节点重试+终局兜底，支撑企业级智能体落地。MCP数据源：接入MySQL、ES、PG、ClickHouse、Mongo五种数据源。技能生态：支持第三方平台技能导入。CI/CD：Jenkins+ansible自动化流水线。前端体验：暗色模式、新手引导、git风格diff。其他：JWT认证、Langfuse全链路追踪、Deep Research联网降级能力。</w:t>
      </w:r>
    </w:p>
    <w:p>
      <w:pPr>
        <w:spacing w:after="20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四、工作量统计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OS 1.0完成70项，OS 2.0完成52项，合计122项，完成率100%。Git提交总数863次（OS1.0: 615次，OS2.0: 248次）。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2026-07-17T02:31:12.434Z</dcterms:created>
  <dcterms:modified xsi:type="dcterms:W3CDTF">2026-07-17T02:31:12.439Z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