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附件2：第十二届国际发明展览会参展项目申报表</w:t>
      </w:r>
    </w:p>
    <w:p>
      <w:pPr>
        <w:pStyle w:val="Heading1"/>
      </w:pPr>
      <w: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项目名称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自主进化决策智能体操作系统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项目领域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企业级AI基础设施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申报单位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北京中数睿智科技有限公司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项目负责人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联系电话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电子邮箱</w:t>
            </w:r>
          </w:p>
        </w:tc>
        <w:tc>
          <w:tcPr>
            <w:tcW w:type="dxa" w:w="6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——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</w:pPr>
      <w:r>
        <w:t xml:space="preserve">一、项目简介（限1000字）</w:t>
      </w:r>
    </w:p>
    <w:p>
      <w:pPr>
        <w:spacing w:after="120"/>
      </w:pPr>
      <w:r>
        <w:t xml:space="preserve">该项目属于企业级AI基础设施领域，项目名称为“自主进化决策智能体操作系统”。人工智能是引领新一轮科技革命和产业变革的战略性技术，党中央、国务院高度重视人工智能产业发展，将其上升为国家战略，“人工智能+”行动已写入政府工作报告。企业级AI基础设施作为AI技术落地的关键支撑，是打通AI从“可用”到“好用”的“最后一公里”，其发展水平直接决定了我国产业智能化转型的速度与质量。</w:t>
      </w:r>
    </w:p>
    <w:p>
      <w:pPr>
        <w:spacing w:after="120"/>
      </w:pPr>
      <w:r>
        <w:t xml:space="preserve">当前，企业级智能体技术面临三大核心瓶颈：一是智能体构建门槛高，传统方法依赖预设规则和程序化逻辑，面对复杂多变的业务场景灵活性差，系统维护成本指数级增长；二是多模态数据语义融合能力弱，推理过程缺乏反思校验机制，检索路径决策呈黑箱化，难以满足企业安全合规场景的可解释性要求；三是策略生成规则固定、建模静态、优化滞后，多智能体间缺乏有效的关系建模与协同机制，导致系统在面对动态业务环境时响应迟缓。这些问题严重制约了企业级智能体技术的大规模产业化应用。</w:t>
      </w:r>
    </w:p>
    <w:p>
      <w:pPr>
        <w:spacing w:after="120"/>
      </w:pPr>
      <w:r>
        <w:t xml:space="preserve">在国家人工智能发展战略和产业数字化升级需求的双重驱动下，项目团队以“赋予智能体自主进化能力”为核心理念，以“端到端自动化构建”和“双引擎协同推理”为技术牵引，构建了“自动化构建—智能推理—在线进化”全链路技术体系。历经三年联合攻关和自主创新，形成了具有自主知识产权的技术体系，实现了从业务需求输入到智能体实例封装的全流程自动化。主要发明点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基于图结构语义融合的端到端智能体自动化构建技术。</w:t>
      </w:r>
      <w:r>
        <w:t xml:space="preserve">通过动态演化语义图谱和双重策略网络架构，实现从业务需求解析到智能体实例封装的全程自动化，构建效率提升10倍以上。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多模态RAG-ReAct双引擎协同推理与三级反思技术。</w:t>
      </w:r>
      <w:r>
        <w:t xml:space="preserve">创新性地提出RAG检索增强与ReAct推理的双引擎协同训练方法和三级反思体系，实现推理过程全链路可追溯和自适应纠偏。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基于动态场景感知的智能体策略在线优化与多智能体协同技术。</w:t>
      </w:r>
      <w:r>
        <w:t xml:space="preserve">通过动态语义拓扑网络和边注意力权重的高阶关系建模，实现策略实时在线优化和多智能体高效协同。</w:t>
      </w:r>
    </w:p>
    <w:p>
      <w:pPr>
        <w:spacing w:after="120"/>
      </w:pPr>
      <w:r>
        <w:t xml:space="preserve">该项目已围绕核心技术布局发明专利36项，其中已授权10项，正在申请中26项，覆盖“知识表示—检索推理—策略生成—意图判断—可解释性—自动化构建”全链路，形成了完整的知识产权保护体系。项目成果获得行业高度认可，公司被评为国家级专精特新“小巨人”企业，深度参与编制多项人工智能和大模型国家标准。项目技术已在能源工业、军工、通信、交通等关键基础设施领域的数十家央企集团中得到应用，覆盖数百个智能体应用场景，近三年累计新增销售额约2.97亿元，新增利润约2150万元。随着企业级AI基础设施市场规模的持续高速增长，项目技术成果具有广阔的市场前景和显著的社会效益。</w:t>
      </w:r>
    </w:p>
    <w:p>
      <w:r>
        <w:br w:type="page"/>
      </w:r>
    </w:p>
    <w:p>
      <w:pPr>
        <w:pStyle w:val="Heading1"/>
      </w:pPr>
      <w:r>
        <w:t xml:space="preserve">二、发明创新点（限1000字）</w:t>
      </w:r>
    </w:p>
    <w:p>
      <w:pPr>
        <w:pStyle w:val="Heading2"/>
      </w:pPr>
      <w:r>
        <w:t xml:space="preserve">创新点1：基于图结构语义融合的端到端智能体自动化构建技术</w:t>
      </w:r>
    </w:p>
    <w:p>
      <w:pPr>
        <w:spacing w:after="60"/>
      </w:pPr>
      <w:r>
        <w:rPr>
          <w:b/>
          <w:bCs/>
        </w:rPr>
        <w:t xml:space="preserve">核心知识产权：</w:t>
      </w:r>
      <w:r>
        <w:t xml:space="preserve">专利CN120235181B（基于图结构语义融合的端到端智能体的自动化构建方法，已授权）、专利CN120745654B（一种基于模板内容自动择优的智能意图判断方法，已授权）。</w:t>
      </w:r>
    </w:p>
    <w:p>
      <w:pPr>
        <w:spacing w:after="120"/>
      </w:pPr>
      <w:r>
        <w:t xml:space="preserve">针对传统智能体构建依赖预设规则、灵活性差的问题，本发明提出了一套端到端自动化构建方案。通过Transformer解码器架构对业务需求进行深层语义解析；通过大语言模型进行任务分解并匹配行业模板库；创新性地构建了动态演化语义图谱，通过消息传递神经网络实现节点激活；最后通过双重策略网络架构构建端到端调用链DAG，以近端策略优化算法进行强化学习训练，实现智能体实例自动化封装。该方案将构建效率提升10倍以上，显著降低了企业级智能体开发门槛。</w:t>
      </w:r>
    </w:p>
    <w:p>
      <w:pPr>
        <w:pStyle w:val="Heading2"/>
      </w:pPr>
      <w:r>
        <w:t xml:space="preserve">创新点2：多模态RAG-ReAct双引擎协同推理与三级反思技术</w:t>
      </w:r>
    </w:p>
    <w:p>
      <w:pPr>
        <w:spacing w:after="60"/>
      </w:pPr>
      <w:r>
        <w:rPr>
          <w:b/>
          <w:bCs/>
        </w:rPr>
        <w:t xml:space="preserve">核心知识产权：</w:t>
      </w:r>
      <w:r>
        <w:t xml:space="preserve">专利CN120256971B（一种多模态智能体RAG-ReAct双引擎协同训练方法，已授权）、专利CN120371999B（支持知识检索、生成及优化的智能体管理平台的构建方法，已授权）、专利CN120654839B（一种智能体可解释检索路径生成系统及验证方法，已授权）。</w:t>
      </w:r>
    </w:p>
    <w:p>
      <w:pPr>
        <w:spacing w:after="120"/>
      </w:pPr>
      <w:r>
        <w:t xml:space="preserve">针对现有多模态数据语义融合能力弱、检索结果缺乏反思校验、路径决策黑箱化的问题，本发明提出了RAG检索增强与ReAct推理的双引擎协同训练方案。在RAG引擎侧，通过高维向量化将多模态数据转化为统一语义空间，利用动态蒸馏技术将知识图谱语义关系编码为模型微调梯度方向，提升检索精度；在ReAct引擎侧，采用“思考-行动-观察”循环机制，通过递归思维链实现复杂推理的自主求解。创新性地设计了三级反思体系：结果反思层进行目标偏差分析，过程反思层进行路径节点追踪与因果链校验，策略反思层进行策略因子共现分析，并通过认知蒸馏形成反馈闭环。同时，实现了可解释检索路径的自动生成与验证。该方案显著提升了推理准确率和知识检索可解释性。</w:t>
      </w:r>
    </w:p>
    <w:p>
      <w:pPr>
        <w:pStyle w:val="Heading2"/>
      </w:pPr>
      <w:r>
        <w:t xml:space="preserve">创新点3：基于动态场景感知的智能体策略在线优化与多智能体协同技术</w:t>
      </w:r>
    </w:p>
    <w:p>
      <w:pPr>
        <w:spacing w:after="60"/>
      </w:pPr>
      <w:r>
        <w:rPr>
          <w:b/>
          <w:bCs/>
        </w:rPr>
        <w:t xml:space="preserve">核心知识产权：</w:t>
      </w:r>
      <w:r>
        <w:t xml:space="preserve">专利CN120409847A（基于动态场景感知的智能体策略生成与在线优化方法，已公开）、专利CN120611644A（基于边注意力权重的智能体高阶关系建模方法，已公开）、专利CN118886427B（结合专家评估规则和大语言模型的提示词优化方法，已授权）。</w:t>
      </w:r>
    </w:p>
    <w:p>
      <w:pPr>
        <w:spacing w:after="120"/>
      </w:pPr>
      <w:r>
        <w:t xml:space="preserve">针对企业业务场景中策略生成规则固定、优化滞后以及多智能体间缺乏有效协同的问题，本发明设计了“动态需求解析—实时环境建模—场景驱动策略生成—在线动态优化”的闭环技术路线。通过动态语义拓扑网络实时感知场景环境特征，对智能体行为空间进行层次化关联建模，结合场景价值表征分解实现策略的在线优化。在多智能体协同方面，通过提取交互时间跨度、结构差异度、交互频率、语义贴合度四类边属性特征，运用边注意力权重机制和多跳高阶关系传播算法，实现多智能体间高阶关系的精确建模。同时，将专家评估规则嵌入提示词优化过程，通过模糊C均值聚类和跨模态语义一致性分析，实现提示词的动态自适应优化。</w:t>
      </w:r>
    </w:p>
    <w:p>
      <w:r>
        <w:br w:type="page"/>
      </w:r>
    </w:p>
    <w:p>
      <w:pPr>
        <w:pStyle w:val="Heading1"/>
      </w:pPr>
      <w:r>
        <w:t xml:space="preserve">三、产业化及市场应用效益情况（限1000字）</w:t>
      </w:r>
    </w:p>
    <w:p>
      <w:pPr>
        <w:pStyle w:val="Heading2"/>
      </w:pPr>
      <w:r>
        <w:t xml:space="preserve">1. 产业化基础与市场前景</w:t>
      </w:r>
    </w:p>
    <w:p>
      <w:pPr>
        <w:spacing w:after="120"/>
      </w:pPr>
      <w:r>
        <w:t xml:space="preserve">当前，企业级AI基础设施市场正处于爆发式增长阶段。根据弗若斯特沙利文与头豹研究院联合发布的《2025年中国AI基础设施市场报告》，中国AI基础设施市场规模2023年已达830亿元，预计2028年将增长至2793亿元，年复合增长率高达27.47%。全球AI基础设施市场2026年规模约422亿元，预计2033年将达到6713亿元，年均复合增长率达48.46%。在“人工智能+”行动上升为国家战略、“东数西算”工程持续推进的政策背景下，能源工业、军工、通信、交通等关键基础设施领域对智能体技术的需求呈现井喷态势，为项目技术的产业化提供了广阔的市场空间。</w:t>
      </w:r>
    </w:p>
    <w:p>
      <w:pPr>
        <w:pStyle w:val="Heading2"/>
      </w:pPr>
      <w:r>
        <w:t xml:space="preserve">2. 经济效益分析</w:t>
      </w:r>
    </w:p>
    <w:p>
      <w:pPr>
        <w:spacing w:after="120"/>
      </w:pPr>
      <w:r>
        <w:t xml:space="preserve">本项目技术成果已通过中数睿智的智能体产品体系实现产业化落地。公司产品体系涵盖智能指令、全知中枢、进化引擎、动态本体、数据编织五大核心产品及技术服务，2023年至2025年营业收入从930万元增长至2.06亿元，年均复合增长率约370%，其中智能体平台相关产品收入贡献占比超过60%。2025年公司实现净利润3284万元，研发投入6314万元，研发费用率约30.6%，体现了公司对核心技术持续高强度投入的战略定力。公司已服务南方电网、航天科技、中国联通、国铁集团等数十家央企集团，覆盖能源调度、军工信息化、通信运维、交通调度等关键场景。</w:t>
      </w:r>
    </w:p>
    <w:p>
      <w:pPr>
        <w:spacing w:after="120"/>
      </w:pPr>
      <w:r>
        <w:t xml:space="preserve">基于公司现有的客户基础和行业渗透率进行保守测算，智能体操作系统相关产品在未来五年（2026-2030年）累计可实现销售收入约52.5亿元，累计净利润约7.9亿元。其中，军工领域受益于国防信息化建设加速，预计贡献收入占比超40%；能源工业领域受益于国家电网500亿元AI专项投入等政策红利，预计贡献收入占比超30%。同时，项目技术的产业化应用将带动上下游产业链协同发展，包括算力基础设施、数据治理服务、行业解决方案等环节，预计可间接拉动产业链产值逾百亿元。</w:t>
      </w:r>
    </w:p>
    <w:p>
      <w:pPr>
        <w:pStyle w:val="Heading2"/>
      </w:pPr>
      <w:r>
        <w:t xml:space="preserve">3. 社会效益分析</w:t>
      </w:r>
    </w:p>
    <w:p>
      <w:pPr>
        <w:spacing w:after="120"/>
      </w:pPr>
      <w:r>
        <w:t xml:space="preserve">本项目技术的社会效益主要体现在三个方面：一是推动我国企业级AI基础设施的自主可控能力建设，通过36项核心专利布局，在智能体自动化构建、多模态协同推理、动态策略优化等关键环节形成技术壁垒，降低对国外AI框架和平台的依赖，助力解决AI基础设施“卡脖子”问题；二是赋能关键基础设施领域的智能化升级，项目技术已服务于南方电网、中国联通、国铁集团、航天科技、航天科工等数十家央企集团，覆盖能源调度、通信运维、交通调度、国防信息化等关键场景，有效提升了国家关键基础设施的智能化水平和运行效率；三是降低企业级AI应用的门槛，通过端到端自动化构建技术，将智能体开发效率提升10倍以上，使更多中小企业能够以更低的成本接入和利用AI能力，推动“人工智能+”行动在更广泛的经济社会领域落地。项目技术成果的推广和应用，将有力支撑我国在全球人工智能产业竞争中的战略地位，助力数字经济高质量发展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PingFang SC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PingFang SC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PingFang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2026-07-24T02:44:42.030Z</dcterms:created>
  <dcterms:modified xsi:type="dcterms:W3CDTF">2026-07-24T02:44:42.035Z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