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44"/>
          <w:szCs w:val="44"/>
        </w:rPr>
        <w:t xml:space="preserve">自主进化决策智能体操作系统</w:t>
      </w:r>
    </w:p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2E75B6"/>
          <w:sz w:val="36"/>
          <w:szCs w:val="36"/>
        </w:rPr>
        <w:t xml:space="preserve">申报文档经济效益部分</w:t>
      </w:r>
    </w:p>
    <w:p>
      <w:pPr>
        <w:spacing w:after="40"/>
        <w:jc w:val="center"/>
      </w:pPr>
      <w:r>
        <w:rPr>
          <w:rFonts w:ascii="Arial" w:eastAsia="Microsoft YaHei" w:hAnsi="Arial"/>
          <w:b/>
          <w:bCs/>
          <w:color w:val="2E75B6"/>
          <w:sz w:val="36"/>
          <w:szCs w:val="36"/>
        </w:rPr>
        <w:t xml:space="preserve">深度评审报告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color w:val="CCCCCC"/>
          <w:sz w:val="20"/>
          <w:szCs w:val="20"/>
        </w:rPr>
        <w:t xml:space="preserve">________________________________</w:t>
      </w:r>
    </w:p>
    <w:p>
      <w:pPr>
        <w:spacing w:before="200"/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评审单位：独立专家评审</w:t>
      </w:r>
    </w:p>
    <w:p>
      <w:pPr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申报单位：北京中数睿智科技有限公司</w:t>
      </w:r>
    </w:p>
    <w:p>
      <w:pPr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评审日期：2026年7月24日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一、总体评价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本评审报告针对北京中数睿智科技有限公司（以下简称“中数睿智”）“自主进化决策智能体操作系统”项目申报文档中的经济效益部分，从市场数据可信度、经济效益预测合理性、竞争格局、产业化风险、社会效益评价等维度进行系统性审查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经核查，申报文档在经济效益部分存在以下核心问题：市场规模数据引用存在“偷换概念”嫌疑，将泛化的AI基础设施市场（含硬件、算力、云服务等）等同于企业级AI智能体软件市场；营收预测隐含的复合增长率高达约60%，远超行业合理水平；客户结构高度集中于央企和政府端，存在显著集中度风险；社会效益论述较为笼统，缺乏量化指标支撑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总体而言，该申报文档经济效益部分的数据基础部分可信，但预测逻辑存在过度乐观倾向，需在多个关键假设上进行审慎修正。以下为各维度逐一分析。</w:t>
      </w:r>
    </w:p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二、市场数据核验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2.1 中国AI基础设施市场规模数据（830亿→2793亿，CAGR 27.47%）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数据来源验证：经与公开资料交叉核验，该数据确出自弗若斯特沙利文（Frost &amp; Sullivan）与头豹研究院联合发布的《2025年中国AI基础设施报告》。报告原文定义：AI基础设施是支撑AI应用研发、部署和运维的基础架构，核心要素为算力、算法与数据，2023年中国市场规模达830亿元，预计2028年将增至2793亿元，CAGR 27.47%。数据来源具有行业参考价值，权威性中等偏上。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核心问题——市场定义错配：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该报告定义的AI基础设施是一个极其宽泛的概念，涵盖GPU服务器、AI芯片、智算中心、AI云服务、数据存储、AI开发平台、模型训练与推理服务等。而中数睿智的“自主进化决策智能体操作系统”属于AI基础设施中“应用层平台软件”这一极窄细分。将830亿→2793亿的泛化市场数据直接作为自身产品的市场空间依据，存在严重的“偷换概念”问题。打个比方，这就像一家做汽车导航软件的公司，用“中国汽车产业市场规模”来论证自身市场前景——数字虽大，但相关性很低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合理做法：应引用AI Agent/智能体平台/企业级AI决策软件这一细分赛道的市场规模数据。据行业调研，2025年中国企业级AI Agent市场规模约在50-100亿元量级，尽管增速同样可观（部分机构预测CAGR 50%+），但基数远小于830亿元。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2.2 全球AI基础设施市场数据（422亿→6713亿，CAGR 48.46%）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数据来源验证：该数据出自百谏方略（DIResearch）发布的《全球与中国AI基础设施市场规模分析及行业发展趋势研究报告（2026-2033）》，原文为：2026年全球AI基础设施市场规模60.45亿美元（约422亿人民币），预计2033年达960.87亿美元（约6713亿人民币），CAGR 48.46%。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问题分析：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（1）数据来源权威性：百谏方略相较于弗若斯特沙利文、Gartner、IDC等国际一线咨询机构，品牌影响力有一定差距，其数据的公信力和方法论透明度需打折扣。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（2）CAGR 48.46%的合理性：全球AI基础设施市场维持近50%的复合增长率长达7年，这在科技产业历史上极为罕见。即使是智能手机爆发期，全球智能手机出货量CAGR也仅约30%（2007-2014）。该预测数据应当标注为“乐观情景”而非“基准情景”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（3）汇率换算问题：文档中“422亿元”和“6713亿元”的人民币表述未注明汇率基准，在汇率波动背景下，这种表述存在误导嫌疑——读者可能误以为是人民币计价的市场规模。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2.3 市场数据整体评价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我主观认为，申报文档的市场数据引用策略存在“选择性呈现”的倾向——选取了最有利于自身论证的宽口径数据，而回避了AI Agent细分赛道的窄口径数据。建议补充AI Agent/智能体操作系统细分赛道的独立市场规模数据，提升论证的针对性和可信度。</w:t>
      </w:r>
    </w:p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三、经济效益合理性分析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3.1 历史营收增长分析（2023年930万→2025年2.06亿）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该增长曲线隐含的CAGR约为370%，意味着公司在两年内营收增长了22倍。这种“爆发式增长”在AI行业确实存在先例（如OpenAI在ChatGPT发布后的营收增长），但通常需要满足以下条件：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（1）技术/产品出现代际突破，形成显著先发优势；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（2）市场处于从0到1的爆发期，需求远大于供给；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（3）公司具备极强的销售落地能力和大规模交付能力。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中数睿智2023年营收仅930万元，说明彼时公司尚处于早期验证阶段。若2025年确已达到2.06亿营收，则意味着公司找到了产品-市场匹配（PMF）并进入了快速放量期。但需注意：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（1）930万基数极低，高增长率在统计上并不稀缺——一个初创公司从100万做到2000万，增长率可达1900%，但绝对规模仍然很小。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（2）2025年营收2.06亿是否包含政府补贴、项目制收入等非经常性收入？申报文档未明确区分。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（3）2025年净利润3284万元，净利润率15.9%，对于一家AI平台软件公司而言处于合理偏高区间。但需核查该净利润是否包含融资收款、政府补贴等非经营性收入。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3.2 远期预测分析（2026-2030年累计营收52.5亿元）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这是本次评审中最需要重点审视的部分。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关键测算：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假设2025年营收为2.06亿元，2026-2030年5年累计营收52.5亿元，年均营收约10.5亿元。若假设营收从2026年开始呈指数增长，要使5年累计达到52.5亿元，隐含的CAGR约为60%。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具体推导：设2026年营收为2.06×(1+g)，2027年为2.06×(1+g)^2，以此类推，则5年累计营收 = 2.06×[(1+g)+(1+g)^2+(1+g)^3+(1+g)^4+(1+g)^5] = 52.5。解得g约等于60%。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这意味着：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（1）2030年单年营收需达到约21.6亿元，是2025年的10.5倍。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（2）公司需连续5年维持60%以上的年增长率，考虑到基数逐年增大，这是极其困难的。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（3）若公司2030年营收确实达到21.6亿元，则其在中国AI Agent市场份额需要达到20%-40%（取决于当时市场总规模），在阿里云、百度、华为等巨头环伺的格局下，这一假设需要进行压力测试。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3.3 与行业可比公司对比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我主观整理了以下对比：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行业典型水平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中数睿智申报数据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差异分析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营收增速（2023-2025）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AI软件公司约30-50%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约370% CAGR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显著偏高，基数低可部分解释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营收增速（2026-2030预测）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成熟软件公司10-30%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隐含约60% CAGR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00000"/>
                <w:sz w:val="20"/>
                <w:szCs w:val="20"/>
              </w:rPr>
              <w:t xml:space="preserve">严重偏高，需重点论证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净利润率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SaaS企业15-25%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15.9%（2025年）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7A33"/>
                <w:sz w:val="20"/>
                <w:szCs w:val="20"/>
              </w:rPr>
              <w:t xml:space="preserve">合理区间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研发费用率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AI公司20-40%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30.6%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7A33"/>
                <w:sz w:val="20"/>
                <w:szCs w:val="20"/>
              </w:rPr>
              <w:t xml:space="preserve">合理区间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客户集中度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头部客户&lt;30%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央企客户占比极高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00000"/>
                <w:sz w:val="20"/>
                <w:szCs w:val="20"/>
              </w:rPr>
              <w:t xml:space="preserve">高集中度风险</w:t>
            </w:r>
          </w:p>
        </w:tc>
      </w:tr>
    </w:tbl>
    <w:p>
      <w:pPr>
        <w:spacing w:after="60" w:before="60" w:line="360"/>
        <w:jc w:val="center"/>
      </w:pPr>
      <w:r>
        <w:rPr>
          <w:rFonts w:ascii="Arial" w:eastAsia="Microsoft YaHei" w:hAnsi="Arial"/>
          <w:i/>
          <w:iCs/>
          <w:sz w:val="22"/>
          <w:szCs w:val="22"/>
        </w:rPr>
        <w:t xml:space="preserve">表1：中数睿智与行业可比公司关键指标对比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此外，与已上市AI公司对比：格灵深瞳（688207）2024年营收大幅下滑、亏损翻倍；云从科技（688327）营收下滑、资产缩水；即使是科大讯飞（002230）这样的头部企业，近年营收增速也降至20%以下。AI商业化“理想很丰满，现实很骨感”是行业普遍写照。中数睿智预测的60%持续增长率，需要非常强有力的证据支撑。</w:t>
      </w:r>
    </w:p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四、客户结构与竞争格局分析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4.1 央企客户主导的优劣势分析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优势：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（1）客单价高：央企信息化预算充足，单笔订单金额可达数百万至数千万级别。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（2）续约率高：央企IT系统一旦部署，替换成本极高，客户粘性强。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（3）标杆效应：服务南方电网、航天科技等头部央企形成的案例背书，在同类型客户中具有极强的示范效应。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（4）政策红利：国资委明确要求央企加速AI应用落地，“东数西算”、“人工智能+”等国家战略形成了确定性需求。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风险：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（1）收入集中度风险：央企客户数量有限（全国央企仅97家），天花板明显。若前5大客户贡献超过50%营收，任何一家客户的预算削减都将对业绩产生重大冲击。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（2）回款周期长：央企采购流程复杂，从签约到验收付款通常需要6-18个月，对现金流管理形成巨大压力。2025年营收2.06亿中有多少是应收账款？申报文档未披露。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（3）政策依赖风险：当前央企AI采购受政策驱动明显。若政策风向转变，或预算优先级调整，需求可能急剧收缩。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（4）定制化陷阱：每个央企都有独特的IT架构和安全合规要求，项目交付中可能产生大量定制开发工作，侵蚀产品标准化程度和毛利率。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（5）竞争加剧：华为、阿里等巨头同样在争夺央企AI市场，且具备更完整的“云+AI+硬件”一体化解决方案。当央企招标从“能用就行”转向“最优方案”时，中数睿智的竞争优势可能被削弱。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4.2 竞争格局分析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企业级AI智能体/平台赛道当前的竞争格局可分为三个梯队：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竞争梯队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代表企业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核心优势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与中数睿智的竞争关系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第一梯队：云平台巨头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阿里云百炼、百度文心、华为盘古、腾讯混元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全栈AI能力、庞大客户基础、品牌号召力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直接竞争，尤其在央企/政府市场。巨头可通过价格战挤压中小厂商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第二梯队：AI独角兽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智谱AI、第四范式、深演智能、百川智能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技术领先、垂直场景深耕、资本充裕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直接竞争，在各垂直行业形成差异化竞争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第三梯队：专精特新企业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中数睿智等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垂直行业know-how、灵活定制、关基领域资质壁垒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中数睿智处于此梯队，需证明规模化能力</w:t>
            </w:r>
          </w:p>
        </w:tc>
      </w:tr>
    </w:tbl>
    <w:p>
      <w:pPr>
        <w:spacing w:after="60" w:before="60" w:line="360"/>
        <w:jc w:val="center"/>
      </w:pPr>
      <w:r>
        <w:rPr>
          <w:rFonts w:ascii="Arial" w:eastAsia="Microsoft YaHei" w:hAnsi="Arial"/>
          <w:i/>
          <w:iCs/>
          <w:sz w:val="22"/>
          <w:szCs w:val="22"/>
        </w:rPr>
        <w:t xml:space="preserve">表2：企业级AI智能体平台竞争格局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中数睿智的差异化优势：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（1）国家级专精特新“小巨人”资质——在政府/央企采购中具有“国产替代”标签优势；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（2）参与多项AI国家标准编制——具备行业话语权和标准制定影响力；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（3）关基领域客户积累——已服务南方电网、航天科技、中国联通、国铁集团等数十家央企，形成了行业壁垒；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（4）A+轮融资2亿元——刷新国内企业级AI Agent细分领域最大单笔融资纪录，资金储备相对充裕；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（5）“自主进化决策”概念——具有技术叙事差异化，但需验证其技术壁垒是否真实存在。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我主观认为，中数睿智的核心竞争壁垒不在技术本身（大模型和智能体框架日趋同质化），而在于“关基领域客户准入壁垒+行业know-how+标准制定话语权”的组合。这种壁垒具有一定的防御性，但天花板也相对较低。</w:t>
      </w:r>
    </w:p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五、产业化风险分析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5.1 技术风险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（1）大模型底层依赖：智能体操作系统的核心能力依赖底层大模型性能。若底层大模型（无论是自研还是调用第三方）出现性能瓶颈、幻觉不可控等问题，将直接影响上层产品的竞争力。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2）“自主进化”概念的可验证性：申报文档中“自主进化决策”是核心卖点，但这一概念的工程实现难度极高。如果没有明确的技术路线图和已实现的“进化”案例，这一叙述可能被评审专家质疑为“概念包装”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（3）技术迭代速度：AI Agent领域技术迭代极快，半年到一年就可能出现代际更替，研发投入的持续性面临巨大挑战——30.6%的研发费用率能否持续维持技术领先？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5.2 市场风险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（1）巨头降维打击：当阿里云、百度、华为等巨头将AI Agent能力作为其云服务的“免费/低价”附加功能时，独立Agent厂商的议价空间将急剧压缩。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（2）开源生态冲击：LangChain、AutoGPT、MetaGPT等开源Agent框架快速演进，降低了企业自建Agent的门槛，可能侵蚀商业Agent平台的市场空间。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（3）市场教育成本：企业级AI Agent从“概念验证”到“规模化部署”仍有很长的路要走。行业普遍反映，大量企业引入AI工具后遭遇“幻觉问题”，尤其在金融、能源等严肃决策场景，落地周期远超预期。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5.3 财务风险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（1）应收账款风险：央企客户回款周期长，若2025年营收2.06亿中应收账款占比过高，经营性现金流可能为负，需要持续融资维持运营。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（2）融资依赖：A+轮融资2亿人民币，按年均30%研发费用率、2亿营收对应6000万研发投入估算，加上销售管理费用，若营收增速不及预期，现有资金储备可能仅够维持2-3年。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（3）军工业务占比40%+的合规与审计风险：军工项目通常具有较长的采购周期和高度不确定性，且军工收入在IPO审核中可能面临额外审查。若中数睿智未来有上市计划，需提前考虑军工收入的合规披露问题。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5.4 政策与合规风险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（1）信创政策变化：当前央企AI采购受信创/国产替代政策驱动，但政策具有时效性。若政策窗口期结束，需求可能回落。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（2）数据安全与隐私合规：服务能源、军工、通信等关基领域，涉及大量敏感数据，数据安全合规成本和风险不容忽视。</w:t>
      </w:r>
    </w:p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六、社会效益评估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申报文档中社会效益部分论述了三个要点：推动AI基础设施自主可控、服务关键基础设施领域、降低AI应用门槛（效率提升10倍+）。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分析如下：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1）“推动AI基础设施自主可控”：该论述具备合理性。中数睿智作为国产AI软件企业，其产品在央企/关基领域的部署确实有助于降低对海外AI软件的依赖。但需注意，AI基础设施的自主可控核心在于“算力层”（芯片）和“框架层”，应用层软件的国产替代价值相对有限。建议将论述调整为“推动AI应用层自主可控”，以避免过度夸大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（2）“服务关键基础设施领域”：该论述属实。公司客户覆盖能源、军工、通信、交通等关基领域，但需补充具体案例和数据支撑，例如“在XX领域帮助XX客户实现了XX%的效率提升/成本降低”。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3）“效率提升10倍+”：该表述缺乏量化依据和方法论支撑。10倍效率提升是如何测量的？对比基线是什么？是在哪个具体场景下实现的？没有这些信息，“10倍+”就是一个空洞的数字。建议要么删除，要么补充详细的测量方法和数据来源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总体而言，社会效益部分论述方向正确但过于笼统，“口号式表达”多于“证据式论证”。在国家级项目评审中，这种表述风格可能降低评审专家对申报团队严谨性的评价。</w:t>
      </w:r>
    </w:p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七、关键质疑清单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以下是评审专家在答辩环节极有可能提出的尖锐问题，建议申报团队提前准备应答：</w:t>
      </w:r>
    </w:p>
    <w:p>
      <w:pPr>
        <w:spacing w:after="60" w:before="120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质疑1：</w:t>
      </w:r>
      <w:r>
        <w:rPr>
          <w:rFonts w:ascii="Arial" w:eastAsia="Microsoft YaHei" w:hAnsi="Arial"/>
          <w:sz w:val="22"/>
          <w:szCs w:val="22"/>
        </w:rPr>
        <w:t xml:space="preserve">你们的AI基础设施市场规模数据（830亿→2793亿）包含了GPU服务器、智算中心等硬件，而你们做的是软件产品，为什么用这个数据？你们所在细分赛道（AI Agent软件）的实际市场规模是多少？</w:t>
      </w:r>
      <w:r>
        <w:rPr>
          <w:rFonts w:ascii="Arial" w:eastAsia="Microsoft YaHei" w:hAnsi="Arial"/>
          <w:b/>
          <w:bCs/>
          <w:color w:val="C00000"/>
          <w:sz w:val="20"/>
          <w:szCs w:val="20"/>
        </w:rPr>
        <w:t xml:space="preserve">  [影响等级：致命]</w:t>
      </w:r>
    </w:p>
    <w:p>
      <w:pPr>
        <w:spacing w:after="60" w:before="120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质疑2：</w:t>
      </w:r>
      <w:r>
        <w:rPr>
          <w:rFonts w:ascii="Arial" w:eastAsia="Microsoft YaHei" w:hAnsi="Arial"/>
          <w:sz w:val="22"/>
          <w:szCs w:val="22"/>
        </w:rPr>
        <w:t xml:space="preserve">从2025年营收2.06亿到2030年预测单年营收约21.6亿，隐含CAGR约60%。请逐一拆解：新增客户数、客单价、复购率、续约率等关键驱动因子的假设依据是什么？</w:t>
      </w:r>
      <w:r>
        <w:rPr>
          <w:rFonts w:ascii="Arial" w:eastAsia="Microsoft YaHei" w:hAnsi="Arial"/>
          <w:b/>
          <w:bCs/>
          <w:color w:val="C00000"/>
          <w:sz w:val="20"/>
          <w:szCs w:val="20"/>
        </w:rPr>
        <w:t xml:space="preserve">  [影响等级：致命]</w:t>
      </w:r>
    </w:p>
    <w:p>
      <w:pPr>
        <w:spacing w:after="60" w:before="120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质疑3：</w:t>
      </w:r>
      <w:r>
        <w:rPr>
          <w:rFonts w:ascii="Arial" w:eastAsia="Microsoft YaHei" w:hAnsi="Arial"/>
          <w:sz w:val="22"/>
          <w:szCs w:val="22"/>
        </w:rPr>
        <w:t xml:space="preserve">你们的客户中，前5大客户贡献了多少营收？最大的单一客户占比多少？如果某家央企明年削减AI预算，对你们的影响有多大？</w:t>
      </w:r>
      <w:r>
        <w:rPr>
          <w:rFonts w:ascii="Arial" w:eastAsia="Microsoft YaHei" w:hAnsi="Arial"/>
          <w:b/>
          <w:bCs/>
          <w:color w:val="BF8F00"/>
          <w:sz w:val="20"/>
          <w:szCs w:val="20"/>
        </w:rPr>
        <w:t xml:space="preserve">  [影响等级：高]</w:t>
      </w:r>
    </w:p>
    <w:p>
      <w:pPr>
        <w:spacing w:after="60" w:before="120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质疑4：</w:t>
      </w:r>
      <w:r>
        <w:rPr>
          <w:rFonts w:ascii="Arial" w:eastAsia="Microsoft YaHei" w:hAnsi="Arial"/>
          <w:sz w:val="22"/>
          <w:szCs w:val="22"/>
        </w:rPr>
        <w:t xml:space="preserve">2025年营收2.06亿中，应收账款有多少？账龄结构如何？经营性现金流是正还是负？</w:t>
      </w:r>
      <w:r>
        <w:rPr>
          <w:rFonts w:ascii="Arial" w:eastAsia="Microsoft YaHei" w:hAnsi="Arial"/>
          <w:b/>
          <w:bCs/>
          <w:color w:val="BF8F00"/>
          <w:sz w:val="20"/>
          <w:szCs w:val="20"/>
        </w:rPr>
        <w:t xml:space="preserve">  [影响等级：高]</w:t>
      </w:r>
    </w:p>
    <w:p>
      <w:pPr>
        <w:spacing w:after="60" w:before="120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质疑5：</w:t>
      </w:r>
      <w:r>
        <w:rPr>
          <w:rFonts w:ascii="Arial" w:eastAsia="Microsoft YaHei" w:hAnsi="Arial"/>
          <w:sz w:val="22"/>
          <w:szCs w:val="22"/>
        </w:rPr>
        <w:t xml:space="preserve">当阿里云、华为将AI Agent能力作为云服务的免费附加功能时，你们如何保持定价权？</w:t>
      </w:r>
      <w:r>
        <w:rPr>
          <w:rFonts w:ascii="Arial" w:eastAsia="Microsoft YaHei" w:hAnsi="Arial"/>
          <w:b/>
          <w:bCs/>
          <w:color w:val="BF8F00"/>
          <w:sz w:val="20"/>
          <w:szCs w:val="20"/>
        </w:rPr>
        <w:t xml:space="preserve">  [影响等级：高]</w:t>
      </w:r>
    </w:p>
    <w:p>
      <w:pPr>
        <w:spacing w:after="60" w:before="120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质疑6：</w:t>
      </w:r>
      <w:r>
        <w:rPr>
          <w:rFonts w:ascii="Arial" w:eastAsia="Microsoft YaHei" w:hAnsi="Arial"/>
          <w:sz w:val="22"/>
          <w:szCs w:val="22"/>
        </w:rPr>
        <w:t xml:space="preserve">军工领域预计贡献超40%营收，但军工项目的采购周期、验收标准和保密要求都具有高度不确定性，你们如何确保这部分收入的可持续性？</w:t>
      </w:r>
      <w:r>
        <w:rPr>
          <w:rFonts w:ascii="Arial" w:eastAsia="Microsoft YaHei" w:hAnsi="Arial"/>
          <w:b/>
          <w:bCs/>
          <w:color w:val="BF8F00"/>
          <w:sz w:val="20"/>
          <w:szCs w:val="20"/>
        </w:rPr>
        <w:t xml:space="preserve">  [影响等级：高]</w:t>
      </w:r>
    </w:p>
    <w:p>
      <w:pPr>
        <w:spacing w:after="60" w:before="120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质疑7：</w:t>
      </w:r>
      <w:r>
        <w:rPr>
          <w:rFonts w:ascii="Arial" w:eastAsia="Microsoft YaHei" w:hAnsi="Arial"/>
          <w:sz w:val="22"/>
          <w:szCs w:val="22"/>
        </w:rPr>
        <w:t xml:space="preserve">“自主进化决策”在技术上是如何实现的？请给出一个具体的、可验证的“进化”案例，说明系统在部署后自主改进了什么、提升了什么指标？</w:t>
      </w:r>
      <w:r>
        <w:rPr>
          <w:rFonts w:ascii="Arial" w:eastAsia="Microsoft YaHei" w:hAnsi="Arial"/>
          <w:b/>
          <w:bCs/>
          <w:color w:val="BF8F00"/>
          <w:sz w:val="20"/>
          <w:szCs w:val="20"/>
        </w:rPr>
        <w:t xml:space="preserve">  [影响等级：中]</w:t>
      </w:r>
    </w:p>
    <w:p>
      <w:pPr>
        <w:spacing w:after="60" w:before="120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质疑8：</w:t>
      </w:r>
      <w:r>
        <w:rPr>
          <w:rFonts w:ascii="Arial" w:eastAsia="Microsoft YaHei" w:hAnsi="Arial"/>
          <w:sz w:val="22"/>
          <w:szCs w:val="22"/>
        </w:rPr>
        <w:t xml:space="preserve">你们声称效率提升10倍+，这是怎么测出来的？对比基线是什么？第三方机构验证过吗？</w:t>
      </w:r>
      <w:r>
        <w:rPr>
          <w:rFonts w:ascii="Arial" w:eastAsia="Microsoft YaHei" w:hAnsi="Arial"/>
          <w:b/>
          <w:bCs/>
          <w:color w:val="BF8F00"/>
          <w:sz w:val="20"/>
          <w:szCs w:val="20"/>
        </w:rPr>
        <w:t xml:space="preserve">  [影响等级：中]</w:t>
      </w:r>
    </w:p>
    <w:p>
      <w:pPr>
        <w:spacing w:after="60" w:before="120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质疑9：</w:t>
      </w:r>
      <w:r>
        <w:rPr>
          <w:rFonts w:ascii="Arial" w:eastAsia="Microsoft YaHei" w:hAnsi="Arial"/>
          <w:sz w:val="22"/>
          <w:szCs w:val="22"/>
        </w:rPr>
        <w:t xml:space="preserve">你们的研发费用率30.6%，但华为、百度等竞争对手的AI研发投入动辄数百亿，你们如何确保技术不被拉开差距？</w:t>
      </w:r>
      <w:r>
        <w:rPr>
          <w:rFonts w:ascii="Arial" w:eastAsia="Microsoft YaHei" w:hAnsi="Arial"/>
          <w:b/>
          <w:bCs/>
          <w:color w:val="BF8F00"/>
          <w:sz w:val="20"/>
          <w:szCs w:val="20"/>
        </w:rPr>
        <w:t xml:space="preserve">  [影响等级：中]</w:t>
      </w:r>
    </w:p>
    <w:p>
      <w:pPr>
        <w:spacing w:after="60" w:before="120"/>
      </w:pPr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质疑10：</w:t>
      </w:r>
      <w:r>
        <w:rPr>
          <w:rFonts w:ascii="Arial" w:eastAsia="Microsoft YaHei" w:hAnsi="Arial"/>
          <w:sz w:val="22"/>
          <w:szCs w:val="22"/>
        </w:rPr>
        <w:t xml:space="preserve">按你们的增长预测，2028年左右可能需要新一轮融资。如果届时资本市场环境恶化，你们的Plan B是什么？</w:t>
      </w:r>
      <w:r>
        <w:rPr>
          <w:rFonts w:ascii="Arial" w:eastAsia="Microsoft YaHei" w:hAnsi="Arial"/>
          <w:b/>
          <w:bCs/>
          <w:color w:val="BF8F00"/>
          <w:sz w:val="20"/>
          <w:szCs w:val="20"/>
        </w:rPr>
        <w:t xml:space="preserve">  [影响等级：中]</w:t>
      </w:r>
    </w:p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八、改善建议（按优先级排序）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P0（必须修改，否则严重影响评审通过率）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修正市场数据引用口径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将广义AI基础设施市场规模（830亿→2793亿）替换为AI Agent/智能体平台/企业级AI决策软件细分赛道的数据。建议引用IDC、Gartner等国际一线机构或艾瑞咨询、亿欧等国内头部机构的细分市场报告。若细分赛道数据确实匮乏，可引用近似赛道数据（如AI开发平台、MLOps平台等），并明确标注数据口径差异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重构营收预测逻辑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当前的营收预测从“累计52.5亿”反推，逻辑链条不透明。建议改为自下而上的建模方式：明确客户数量增长路径（从当前X家央企→2028年Y家→2030年Z家）、客单价趋势（新客户vs老客户续约）、收入结构（软件许可/订阅收入 vs 项目制收入）等关键驱动因子，并做敏感性分析（乐观/基准/悲观三种情景）。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补充应收账款和现金流数据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2025年营收2.06亿、净利润3284万的背后，需披露应收账款余额、账龄结构、经营性现金流净额。这些数据直接影响对公司财务健康度的判断。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P1（强烈建议修改，显著提升申报质量）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量化社会效益指标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删除“效率提升10倍+”等无法验证的表述，替换为有据可查的量化指标，例如：“在某电网客户中，AI辅助决策将故障响应时间从平均45分钟降至8分钟（降低82%）”、“在某运营商客户中，智能体平台将数据分析报告生成时间从3天缩短至2小时”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补充竞争分析章节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增加“竞争格局与差异化优势”专项分析，诚实面对阿里云百炼、百度文心、华为盘古等巨头竞争，并明确阐述中数睿智的差异化定位（如“专注关基领域、深度适配国产化环境、提供私有化部署的AI Agent操作系统”）。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披露客户集中度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披露前5大客户名称（可脱敏为“某能源央企”、“某军工集团”等）、各客户收入占比、合同期限与续约情况。高集中度不一定是致命问题，但回避披露一定是。</w:t>
      </w:r>
    </w:p>
    <w:p>
      <w:pPr>
        <w:pStyle w:val="Heading2"/>
        <w:spacing w:after="12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P2（建议修改，提升申报竞争力）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增加风险分析与应对措施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申报文档目前几乎没有风险分析。建议增加“产业化风险与应对措施”章节，涵盖技术风险、市场风险、财务风险、政策风险等维度，并对应提出具体应对方案。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补充“自主进化”的技术验证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“自主进化”是核心卖点，但也是最容易被质疑的概念。建议提供至少一个具体的技术验证案例，说明系统在某个客户场景中如何实现了自主进化，以及进化的具体效果指标。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完善退出机制分析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对于国家级项目评审，需说明项目的可持续性——即使项目资助结束，公司是否有能力独立维持产品运营和客户服务？建议补充公司后续融资计划、自我造血能力分析和长期商业模式。</w:t>
      </w:r>
    </w:p>
    <w:p>
      <w:pPr>
        <w:pStyle w:val="Heading1"/>
        <w:spacing w:after="180" w:before="360"/>
      </w:pPr>
      <w:r>
        <w:rPr>
          <w:rFonts w:ascii="Arial" w:eastAsia="Microsoft YaHei" w:hAnsi="Arial"/>
          <w:b/>
          <w:bCs/>
          <w:color w:val="1F4E79"/>
          <w:sz w:val="30"/>
          <w:szCs w:val="30"/>
        </w:rPr>
        <w:t xml:space="preserve">九、总结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“自主进化决策智能体操作系统”项目在技术方向和市场定位上具有一定的前瞻性，中数睿智作为国家级专精特新“小巨人”企业，在关基领域的央企客户积累和标准制定参与方面具备真实竞争力。A+轮2亿元融资也验证了资本市场对公司的认可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然而，申报文档的经济效益部分存在以下核心缺陷：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（1）市场数据引用存在“偷换概念”——用泛化市场替代细分市场，夸大了市场空间；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（2）营收预测过于乐观——隐含60%的CAGR缺乏充分依据，与行业可比公司实际表现差距显著；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（3）关键财务数据缺失——应收账款、现金流、客户集中度等信息未披露，影响财务假设的可信度；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（4）社会效益论述空洞——缺乏量化指标支撑，“口号式表达”降低了论述的严谨性；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sz w:val="22"/>
          <w:szCs w:val="22"/>
        </w:rPr>
        <w:t xml:space="preserve">（5）风险分析缺失——对技术、市场、财务、政策等风险几乎未涉及，降低了申报材料的专业度。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建议申报团队按照上述改善建议（尤其是P0级别的三项），对经济效益部分进行系统性修订后重新提交。若上述问题得不到有效解决，该申报文档在严肃评审中通过的概率较低。</w:t>
      </w:r>
    </w:p>
    <w:p>
      <w:pPr>
        <w:spacing w:after="120" w:before="120"/>
      </w:pPr>
      <w:r>
        <w:rPr>
          <w:rFonts w:ascii="Arial" w:eastAsia="Microsoft YaHei" w:hAnsi="Arial"/>
          <w:color w:val="CCCCCC"/>
          <w:sz w:val="16"/>
          <w:szCs w:val="16"/>
        </w:rPr>
        <w:t xml:space="preserve">________________________________________________________________________________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i/>
          <w:iCs/>
          <w:sz w:val="22"/>
          <w:szCs w:val="22"/>
        </w:rPr>
        <w:t xml:space="preserve">评审人：独立商业与市场分析专家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i/>
          <w:iCs/>
          <w:sz w:val="22"/>
          <w:szCs w:val="22"/>
        </w:rPr>
        <w:t xml:space="preserve">评审日期：2026年7月24日</w:t>
      </w:r>
    </w:p>
    <w:p>
      <w:pPr>
        <w:spacing w:after="60" w:before="60" w:line="360"/>
        <w:jc w:val="left"/>
      </w:pPr>
      <w:r>
        <w:rPr>
          <w:rFonts w:ascii="Arial" w:eastAsia="Microsoft YaHei" w:hAnsi="Arial"/>
          <w:i/>
          <w:iCs/>
          <w:color w:val="888888"/>
          <w:sz w:val="22"/>
          <w:szCs w:val="22"/>
        </w:rPr>
        <w:t xml:space="preserve">本报告基于公开信息与申报文档内容独立撰写，评审意见仅代表个人专业判断，不构成投资建议。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-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自主进化决策智能体操作系统 - 经济效益深度评审报告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60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80"/>
      <w:outlineLvl w:val="1"/>
    </w:pPr>
    <w:rPr>
      <w:rFonts w:ascii="Arial" w:eastAsia="Microsoft YaHei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200"/>
      <w:outlineLvl w:val="2"/>
    </w:pPr>
    <w:rPr>
      <w:rFonts w:ascii="Arial" w:eastAsia="Microsoft YaHei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2026-07-24T03:21:14.864Z</dcterms:created>
  <dcterms:modified xsi:type="dcterms:W3CDTF">2026-07-24T03:21:14.868Z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