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7C99" w14:textId="2FD5A30A" w:rsidR="000F65CA" w:rsidRPr="00CB14AC" w:rsidRDefault="00BF6959" w:rsidP="00BF6959">
      <w:pPr>
        <w:pStyle w:val="Heading1"/>
        <w:rPr>
          <w:lang w:val="en-GB"/>
        </w:rPr>
      </w:pPr>
      <w:r w:rsidRPr="00CB14AC">
        <w:rPr>
          <w:lang w:val="en-GB"/>
        </w:rPr>
        <w:t>GT7 Export Extension – User Guide</w:t>
      </w:r>
    </w:p>
    <w:p w14:paraId="31AC3546" w14:textId="77777777" w:rsidR="00BF6959" w:rsidRPr="00BF6959" w:rsidRDefault="00BF6959" w:rsidP="00BF6959">
      <w:pPr>
        <w:rPr>
          <w:lang w:val="en-GB"/>
        </w:rPr>
      </w:pPr>
      <w:r w:rsidRPr="00BF6959">
        <w:rPr>
          <w:lang w:val="en-GB"/>
        </w:rPr>
        <w:t>GT7 Export Extension for Inkscape - Export SVG 1.1 for the Gran Turismo 7 Livery Editor</w:t>
      </w:r>
    </w:p>
    <w:p w14:paraId="36847AF9" w14:textId="77777777" w:rsidR="00BF6959" w:rsidRPr="00BF6959" w:rsidRDefault="00BF6959" w:rsidP="00BF6959">
      <w:pPr>
        <w:rPr>
          <w:lang w:val="en-GB"/>
        </w:rPr>
      </w:pPr>
      <w:r w:rsidRPr="00BF6959">
        <w:rPr>
          <w:lang w:val="en-GB"/>
        </w:rPr>
        <w:t xml:space="preserve">Copyright (C) 2026  </w:t>
      </w:r>
      <w:proofErr w:type="spellStart"/>
      <w:r w:rsidRPr="00BF6959">
        <w:rPr>
          <w:lang w:val="en-GB"/>
        </w:rPr>
        <w:t>HoloJohn</w:t>
      </w:r>
      <w:proofErr w:type="spellEnd"/>
      <w:r w:rsidRPr="00BF6959">
        <w:rPr>
          <w:lang w:val="en-GB"/>
        </w:rPr>
        <w:t xml:space="preserve"> (holojohn@gmx.de)</w:t>
      </w:r>
    </w:p>
    <w:p w14:paraId="136E734F" w14:textId="77777777" w:rsidR="00BF6959" w:rsidRPr="00BF6959" w:rsidRDefault="00BF6959" w:rsidP="00BF6959">
      <w:pPr>
        <w:rPr>
          <w:lang w:val="en-GB"/>
        </w:rPr>
      </w:pPr>
    </w:p>
    <w:p w14:paraId="0F4A50CE" w14:textId="77777777" w:rsidR="00BF6959" w:rsidRPr="00BF6959" w:rsidRDefault="00BF6959" w:rsidP="00BF6959">
      <w:pPr>
        <w:rPr>
          <w:lang w:val="en-GB"/>
        </w:rPr>
      </w:pPr>
      <w:r w:rsidRPr="00BF6959">
        <w:rPr>
          <w:lang w:val="en-GB"/>
        </w:rPr>
        <w:t>This program is free software: you can redistribute it and/or modify</w:t>
      </w:r>
    </w:p>
    <w:p w14:paraId="310A9DAB" w14:textId="77777777" w:rsidR="00BF6959" w:rsidRPr="00BF6959" w:rsidRDefault="00BF6959" w:rsidP="00BF6959">
      <w:pPr>
        <w:rPr>
          <w:lang w:val="en-GB"/>
        </w:rPr>
      </w:pPr>
      <w:r w:rsidRPr="00BF6959">
        <w:rPr>
          <w:lang w:val="en-GB"/>
        </w:rPr>
        <w:t>it under the terms of the GNU General Public License as published by</w:t>
      </w:r>
    </w:p>
    <w:p w14:paraId="7F4F70C0" w14:textId="77777777" w:rsidR="00BF6959" w:rsidRPr="00BF6959" w:rsidRDefault="00BF6959" w:rsidP="00BF6959">
      <w:pPr>
        <w:rPr>
          <w:lang w:val="en-GB"/>
        </w:rPr>
      </w:pPr>
      <w:r w:rsidRPr="00BF6959">
        <w:rPr>
          <w:lang w:val="en-GB"/>
        </w:rPr>
        <w:t>the Free Software Foundation, either version 3 of the License, or</w:t>
      </w:r>
    </w:p>
    <w:p w14:paraId="25A56878" w14:textId="77777777" w:rsidR="00BF6959" w:rsidRPr="00BF6959" w:rsidRDefault="00BF6959" w:rsidP="00BF6959">
      <w:pPr>
        <w:rPr>
          <w:lang w:val="en-GB"/>
        </w:rPr>
      </w:pPr>
      <w:r w:rsidRPr="00BF6959">
        <w:rPr>
          <w:lang w:val="en-GB"/>
        </w:rPr>
        <w:t>(at your option) any later version.</w:t>
      </w:r>
    </w:p>
    <w:p w14:paraId="55A57AAA" w14:textId="77777777" w:rsidR="00BF6959" w:rsidRPr="00BF6959" w:rsidRDefault="00BF6959" w:rsidP="00BF6959">
      <w:pPr>
        <w:rPr>
          <w:lang w:val="en-GB"/>
        </w:rPr>
      </w:pPr>
    </w:p>
    <w:p w14:paraId="485FB901" w14:textId="77777777" w:rsidR="00BF6959" w:rsidRPr="00BF6959" w:rsidRDefault="00BF6959" w:rsidP="00BF6959">
      <w:pPr>
        <w:rPr>
          <w:lang w:val="en-GB"/>
        </w:rPr>
      </w:pPr>
      <w:r w:rsidRPr="00BF6959">
        <w:rPr>
          <w:lang w:val="en-GB"/>
        </w:rPr>
        <w:t>This program is distributed in the hope that it will be useful,</w:t>
      </w:r>
    </w:p>
    <w:p w14:paraId="1B492EC3" w14:textId="77777777" w:rsidR="00BF6959" w:rsidRPr="00BF6959" w:rsidRDefault="00BF6959" w:rsidP="00BF6959">
      <w:pPr>
        <w:rPr>
          <w:lang w:val="en-GB"/>
        </w:rPr>
      </w:pPr>
      <w:r w:rsidRPr="00BF6959">
        <w:rPr>
          <w:lang w:val="en-GB"/>
        </w:rPr>
        <w:t>but WITHOUT ANY WARRANTY; without even the implied warranty of</w:t>
      </w:r>
    </w:p>
    <w:p w14:paraId="6193A8AF" w14:textId="77777777" w:rsidR="00BF6959" w:rsidRPr="00BF6959" w:rsidRDefault="00BF6959" w:rsidP="00BF6959">
      <w:pPr>
        <w:rPr>
          <w:lang w:val="en-GB"/>
        </w:rPr>
      </w:pPr>
      <w:r w:rsidRPr="00BF6959">
        <w:rPr>
          <w:lang w:val="en-GB"/>
        </w:rPr>
        <w:t>MERCHANTABILITY or FITNESS FOR A PARTICULAR PURPOSE.  See the</w:t>
      </w:r>
    </w:p>
    <w:p w14:paraId="78BB241A" w14:textId="77777777" w:rsidR="00BF6959" w:rsidRPr="00BF6959" w:rsidRDefault="00BF6959" w:rsidP="00BF6959">
      <w:pPr>
        <w:rPr>
          <w:lang w:val="en-GB"/>
        </w:rPr>
      </w:pPr>
      <w:r w:rsidRPr="00BF6959">
        <w:rPr>
          <w:lang w:val="en-GB"/>
        </w:rPr>
        <w:t>GNU General Public License for more details.</w:t>
      </w:r>
    </w:p>
    <w:p w14:paraId="3E64F42E" w14:textId="77777777" w:rsidR="00BF6959" w:rsidRPr="00BF6959" w:rsidRDefault="00BF6959" w:rsidP="00BF6959">
      <w:pPr>
        <w:rPr>
          <w:lang w:val="en-GB"/>
        </w:rPr>
      </w:pPr>
    </w:p>
    <w:p w14:paraId="41F85091" w14:textId="77777777" w:rsidR="00BF6959" w:rsidRPr="00BF6959" w:rsidRDefault="00BF6959" w:rsidP="00BF6959">
      <w:pPr>
        <w:rPr>
          <w:lang w:val="en-GB"/>
        </w:rPr>
      </w:pPr>
      <w:r w:rsidRPr="00BF6959">
        <w:rPr>
          <w:lang w:val="en-GB"/>
        </w:rPr>
        <w:t>You should have received a copy of the GNU General Public License</w:t>
      </w:r>
    </w:p>
    <w:p w14:paraId="51E9DCB8" w14:textId="6E37ABEE" w:rsidR="00BF6959" w:rsidRDefault="00BF6959" w:rsidP="00BF6959">
      <w:pPr>
        <w:rPr>
          <w:lang w:val="en-GB"/>
        </w:rPr>
      </w:pPr>
      <w:r w:rsidRPr="00BF6959">
        <w:rPr>
          <w:lang w:val="en-GB"/>
        </w:rPr>
        <w:t>along with this program.  If not, see &lt;https://www.gnu.org/licenses/&gt;.</w:t>
      </w:r>
    </w:p>
    <w:p w14:paraId="61A81B52" w14:textId="77777777" w:rsidR="00BF6959" w:rsidRDefault="00BF6959" w:rsidP="00BF6959">
      <w:pPr>
        <w:pStyle w:val="Heading2"/>
        <w:rPr>
          <w:lang w:val="en-GB"/>
        </w:rPr>
      </w:pPr>
    </w:p>
    <w:p w14:paraId="18AD1D8E" w14:textId="567F0322" w:rsidR="00BF6959" w:rsidRPr="00BF6959" w:rsidRDefault="00BF6959" w:rsidP="00BF6959">
      <w:pPr>
        <w:pStyle w:val="Heading2"/>
        <w:rPr>
          <w:lang w:val="en-GB"/>
        </w:rPr>
      </w:pPr>
      <w:r w:rsidRPr="00BF6959">
        <w:rPr>
          <w:lang w:val="en-GB"/>
        </w:rPr>
        <w:t>About GT7 Export Extension</w:t>
      </w:r>
    </w:p>
    <w:p w14:paraId="44539B70" w14:textId="5D32E663" w:rsidR="00BF6959" w:rsidRDefault="00BF6959" w:rsidP="00BF6959">
      <w:pPr>
        <w:rPr>
          <w:lang w:val="en-GB"/>
        </w:rPr>
      </w:pPr>
      <w:r w:rsidRPr="00BF6959">
        <w:rPr>
          <w:lang w:val="en-GB"/>
        </w:rPr>
        <w:t xml:space="preserve">GT7 </w:t>
      </w:r>
      <w:r w:rsidR="00CD15A4">
        <w:rPr>
          <w:lang w:val="en-GB"/>
        </w:rPr>
        <w:t>Output</w:t>
      </w:r>
      <w:r w:rsidRPr="00BF6959">
        <w:rPr>
          <w:lang w:val="en-GB"/>
        </w:rPr>
        <w:t xml:space="preserve"> Extension (GT7</w:t>
      </w:r>
      <w:r w:rsidR="00CD15A4">
        <w:rPr>
          <w:lang w:val="en-GB"/>
        </w:rPr>
        <w:t>O</w:t>
      </w:r>
      <w:r w:rsidRPr="00BF6959">
        <w:rPr>
          <w:lang w:val="en-GB"/>
        </w:rPr>
        <w:t>E) is a</w:t>
      </w:r>
      <w:r>
        <w:rPr>
          <w:lang w:val="en-GB"/>
        </w:rPr>
        <w:t>n Inkscape extension that allows you to save any contents edited in Inkscape in a stripped down SVG 1.1 format that is compatible with the restrictions documented for the Gran Turismo 7 Livery Editor.</w:t>
      </w:r>
    </w:p>
    <w:p w14:paraId="20AC0AE4" w14:textId="4B1DB89E" w:rsidR="00BF6959" w:rsidRDefault="00BF6959" w:rsidP="00BF6959">
      <w:pPr>
        <w:rPr>
          <w:lang w:val="en-GB"/>
        </w:rPr>
      </w:pPr>
      <w:r>
        <w:rPr>
          <w:lang w:val="en-GB"/>
        </w:rPr>
        <w:t>The extension is distributed under GPL 3.0 which means it is free to use for private and commercial use. If you wish to create derivative work (e.g. adopt the source code for other  SVG tools) you are required to either publish your work under GPL 3.0 or seek permission from the author.</w:t>
      </w:r>
    </w:p>
    <w:p w14:paraId="3CD55932" w14:textId="2702088F" w:rsidR="00BF6959" w:rsidRDefault="00BF6959" w:rsidP="00BF6959">
      <w:pPr>
        <w:pStyle w:val="Heading2"/>
        <w:rPr>
          <w:lang w:val="en-GB"/>
        </w:rPr>
      </w:pPr>
      <w:r>
        <w:rPr>
          <w:lang w:val="en-GB"/>
        </w:rPr>
        <w:t>Installation</w:t>
      </w:r>
    </w:p>
    <w:p w14:paraId="08C0C038" w14:textId="2AE014F3" w:rsidR="00CD15A4" w:rsidRPr="00CD15A4" w:rsidRDefault="00CD15A4" w:rsidP="00CD15A4">
      <w:pPr>
        <w:rPr>
          <w:lang w:val="en-GB"/>
        </w:rPr>
      </w:pPr>
      <w:r>
        <w:rPr>
          <w:lang w:val="en-GB"/>
        </w:rPr>
        <w:t>GT7OE can be installed in 4 simple steps. It is platform independent and requires a running Inkscape 1.4 installation as only prerequisite:</w:t>
      </w:r>
    </w:p>
    <w:p w14:paraId="74B7081B" w14:textId="32BA1B94" w:rsidR="00BF6959" w:rsidRDefault="00BF6959" w:rsidP="00BF6959">
      <w:pPr>
        <w:pStyle w:val="ListParagraph"/>
        <w:numPr>
          <w:ilvl w:val="0"/>
          <w:numId w:val="1"/>
        </w:numPr>
        <w:rPr>
          <w:lang w:val="en-GB"/>
        </w:rPr>
      </w:pPr>
      <w:r>
        <w:rPr>
          <w:lang w:val="en-GB"/>
        </w:rPr>
        <w:t xml:space="preserve">Extract the contents of the </w:t>
      </w:r>
      <w:r w:rsidR="00CD15A4">
        <w:rPr>
          <w:lang w:val="en-GB"/>
        </w:rPr>
        <w:t>“gt7_output.zip” archive</w:t>
      </w:r>
    </w:p>
    <w:p w14:paraId="0420FCE4" w14:textId="0416AB51" w:rsidR="00BF6959" w:rsidRDefault="00BF6959" w:rsidP="00BF6959">
      <w:pPr>
        <w:pStyle w:val="ListParagraph"/>
        <w:numPr>
          <w:ilvl w:val="0"/>
          <w:numId w:val="1"/>
        </w:numPr>
        <w:rPr>
          <w:lang w:val="en-GB"/>
        </w:rPr>
      </w:pPr>
      <w:r>
        <w:rPr>
          <w:lang w:val="en-GB"/>
        </w:rPr>
        <w:t xml:space="preserve">Open Inkscape, go to “Preferences” </w:t>
      </w:r>
      <w:r w:rsidRPr="00BF6959">
        <w:rPr>
          <w:lang w:val="en-GB"/>
        </w:rPr>
        <w:sym w:font="Wingdings" w:char="F0E0"/>
      </w:r>
      <w:r>
        <w:rPr>
          <w:lang w:val="en-GB"/>
        </w:rPr>
        <w:t xml:space="preserve"> “System”</w:t>
      </w:r>
    </w:p>
    <w:p w14:paraId="4E0837FF" w14:textId="617135AF" w:rsidR="00CD15A4" w:rsidRPr="00CD15A4" w:rsidRDefault="00BF6959" w:rsidP="00CD15A4">
      <w:pPr>
        <w:pStyle w:val="ListParagraph"/>
        <w:numPr>
          <w:ilvl w:val="0"/>
          <w:numId w:val="1"/>
        </w:numPr>
        <w:rPr>
          <w:lang w:val="en-GB"/>
        </w:rPr>
      </w:pPr>
      <w:r>
        <w:rPr>
          <w:lang w:val="en-GB"/>
        </w:rPr>
        <w:t>Next to the “User extensions:” folder, push the “Open” button</w:t>
      </w:r>
      <w:r w:rsidR="00CD15A4">
        <w:rPr>
          <w:lang w:val="en-GB"/>
        </w:rPr>
        <w:t xml:space="preserve"> to open the Inkscape extensions folder in the file manager of your operating system</w:t>
      </w:r>
    </w:p>
    <w:p w14:paraId="0A06DDB3" w14:textId="2FDC5502" w:rsidR="00CD15A4" w:rsidRPr="00BF6959" w:rsidRDefault="00CD15A4" w:rsidP="00BF6959">
      <w:pPr>
        <w:pStyle w:val="ListParagraph"/>
        <w:numPr>
          <w:ilvl w:val="0"/>
          <w:numId w:val="1"/>
        </w:numPr>
        <w:rPr>
          <w:lang w:val="en-GB"/>
        </w:rPr>
      </w:pPr>
      <w:r>
        <w:rPr>
          <w:lang w:val="en-GB"/>
        </w:rPr>
        <w:lastRenderedPageBreak/>
        <w:t xml:space="preserve">Copy the files </w:t>
      </w:r>
      <w:r w:rsidRPr="00CD15A4">
        <w:rPr>
          <w:i/>
          <w:iCs/>
          <w:lang w:val="en-GB"/>
        </w:rPr>
        <w:t>gt7_output.inx</w:t>
      </w:r>
      <w:r>
        <w:rPr>
          <w:lang w:val="en-GB"/>
        </w:rPr>
        <w:t xml:space="preserve"> and </w:t>
      </w:r>
      <w:r w:rsidRPr="00CD15A4">
        <w:rPr>
          <w:i/>
          <w:iCs/>
          <w:lang w:val="en-GB"/>
        </w:rPr>
        <w:t>gt7_output.py</w:t>
      </w:r>
      <w:r>
        <w:rPr>
          <w:lang w:val="en-GB"/>
        </w:rPr>
        <w:t xml:space="preserve"> into the user extensions folder open in the file manager</w:t>
      </w:r>
    </w:p>
    <w:p w14:paraId="215C3B97" w14:textId="0A656668" w:rsidR="00BF6959" w:rsidRDefault="00CD15A4" w:rsidP="00CD15A4">
      <w:pPr>
        <w:pStyle w:val="Heading2"/>
        <w:rPr>
          <w:lang w:val="en-GB"/>
        </w:rPr>
      </w:pPr>
      <w:r>
        <w:rPr>
          <w:lang w:val="en-GB"/>
        </w:rPr>
        <w:t>Using GT7OE</w:t>
      </w:r>
    </w:p>
    <w:p w14:paraId="4920D980" w14:textId="65C30520" w:rsidR="00CD15A4" w:rsidRDefault="00CD15A4" w:rsidP="00BF6959">
      <w:pPr>
        <w:rPr>
          <w:lang w:val="en-GB"/>
        </w:rPr>
      </w:pPr>
      <w:r>
        <w:rPr>
          <w:lang w:val="en-GB"/>
        </w:rPr>
        <w:t>Once GT7OE is successfully installed, you will see a new file type .gt7 in the file save dialog of Inkscape:</w:t>
      </w:r>
    </w:p>
    <w:p w14:paraId="2B6DDE0D" w14:textId="5C7BB44F" w:rsidR="00CD15A4" w:rsidRDefault="00CD15A4" w:rsidP="00CD15A4">
      <w:pPr>
        <w:pStyle w:val="ListParagraph"/>
        <w:numPr>
          <w:ilvl w:val="0"/>
          <w:numId w:val="2"/>
        </w:numPr>
        <w:rPr>
          <w:lang w:val="en-GB"/>
        </w:rPr>
      </w:pPr>
      <w:r>
        <w:rPr>
          <w:lang w:val="en-GB"/>
        </w:rPr>
        <w:t>Edit your content or load an existing SVG file into Inkscape</w:t>
      </w:r>
    </w:p>
    <w:p w14:paraId="5EBB9013" w14:textId="00F8DF13" w:rsidR="00CD15A4" w:rsidRDefault="00CD15A4" w:rsidP="00CD15A4">
      <w:pPr>
        <w:pStyle w:val="ListParagraph"/>
        <w:numPr>
          <w:ilvl w:val="0"/>
          <w:numId w:val="2"/>
        </w:numPr>
        <w:rPr>
          <w:lang w:val="en-GB"/>
        </w:rPr>
      </w:pPr>
      <w:r>
        <w:rPr>
          <w:lang w:val="en-GB"/>
        </w:rPr>
        <w:t xml:space="preserve">Go to “File” </w:t>
      </w:r>
      <w:r w:rsidRPr="00CD15A4">
        <w:rPr>
          <w:lang w:val="en-GB"/>
        </w:rPr>
        <w:sym w:font="Wingdings" w:char="F0E0"/>
      </w:r>
      <w:r>
        <w:rPr>
          <w:lang w:val="en-GB"/>
        </w:rPr>
        <w:t xml:space="preserve"> “Save As”</w:t>
      </w:r>
    </w:p>
    <w:p w14:paraId="1FAD2CC0" w14:textId="4BB61CBD" w:rsidR="00CD15A4" w:rsidRDefault="00CD15A4" w:rsidP="00CD15A4">
      <w:pPr>
        <w:pStyle w:val="ListParagraph"/>
        <w:numPr>
          <w:ilvl w:val="0"/>
          <w:numId w:val="2"/>
        </w:numPr>
        <w:rPr>
          <w:lang w:val="en-GB"/>
        </w:rPr>
      </w:pPr>
      <w:r>
        <w:rPr>
          <w:lang w:val="en-GB"/>
        </w:rPr>
        <w:t>In the “Save as type” drop down box, select “Gran Turismo 7 (*.gt7)”</w:t>
      </w:r>
    </w:p>
    <w:p w14:paraId="124561EC" w14:textId="6CE665A3" w:rsidR="00A92F30" w:rsidRDefault="00CD15A4" w:rsidP="00A92F30">
      <w:pPr>
        <w:pStyle w:val="ListParagraph"/>
        <w:numPr>
          <w:ilvl w:val="0"/>
          <w:numId w:val="2"/>
        </w:numPr>
        <w:rPr>
          <w:lang w:val="en-GB"/>
        </w:rPr>
      </w:pPr>
      <w:r>
        <w:rPr>
          <w:lang w:val="en-GB"/>
        </w:rPr>
        <w:t>Press “Save”</w:t>
      </w:r>
    </w:p>
    <w:p w14:paraId="784038B9" w14:textId="3AF14ECD" w:rsidR="00A92F30" w:rsidRDefault="00A92F30" w:rsidP="00A92F30">
      <w:pPr>
        <w:pStyle w:val="ListParagraph"/>
        <w:numPr>
          <w:ilvl w:val="0"/>
          <w:numId w:val="2"/>
        </w:numPr>
        <w:rPr>
          <w:lang w:val="en-GB"/>
        </w:rPr>
      </w:pPr>
      <w:r>
        <w:rPr>
          <w:lang w:val="en-GB"/>
        </w:rPr>
        <w:t>Press “OK” to accept the GT7OE options</w:t>
      </w:r>
    </w:p>
    <w:p w14:paraId="2C950DB2" w14:textId="726045BD" w:rsidR="00A92F30" w:rsidRDefault="00A92F30" w:rsidP="00A92F30">
      <w:pPr>
        <w:rPr>
          <w:lang w:val="en-GB"/>
        </w:rPr>
      </w:pPr>
      <w:r>
        <w:rPr>
          <w:lang w:val="en-GB"/>
        </w:rPr>
        <w:t xml:space="preserve">This will create a file with the extension .gt7 at the location you selected in the “Save As” dialog. To import this file to the Gran Turismo Livery editor you need to have an account on </w:t>
      </w:r>
      <w:hyperlink r:id="rId5" w:history="1">
        <w:r w:rsidRPr="00181C08">
          <w:rPr>
            <w:rStyle w:val="Hyperlink"/>
            <w:lang w:val="en-GB"/>
          </w:rPr>
          <w:t>https://www.gran-turismo.com</w:t>
        </w:r>
      </w:hyperlink>
      <w:r>
        <w:rPr>
          <w:lang w:val="en-GB"/>
        </w:rPr>
        <w:t xml:space="preserve"> and follow the instructions there. The file uploaded only accepts files with .</w:t>
      </w:r>
      <w:proofErr w:type="spellStart"/>
      <w:r>
        <w:rPr>
          <w:lang w:val="en-GB"/>
        </w:rPr>
        <w:t>svg</w:t>
      </w:r>
      <w:proofErr w:type="spellEnd"/>
      <w:r>
        <w:rPr>
          <w:lang w:val="en-GB"/>
        </w:rPr>
        <w:t xml:space="preserve"> extension, so you have to rename your .gt7 file accordingly.</w:t>
      </w:r>
    </w:p>
    <w:p w14:paraId="3CD4D6CF" w14:textId="2806B0D7" w:rsidR="00A92F30" w:rsidRDefault="00A92F30" w:rsidP="00A92F30">
      <w:pPr>
        <w:rPr>
          <w:lang w:val="en-GB"/>
        </w:rPr>
      </w:pPr>
      <w:r>
        <w:rPr>
          <w:lang w:val="en-GB"/>
        </w:rPr>
        <w:t>To down convert SVG 2.0 content to SVG 1.1 (with additional restrictions) GT7OE needs to apply a lot of transformations of the original content, many of which are destructive. Hence it is strongly recommended to save content in the default Inkscape SVG format for backup and then to export it as .gt7 file.</w:t>
      </w:r>
    </w:p>
    <w:p w14:paraId="742F2646" w14:textId="60055502" w:rsidR="00A92F30" w:rsidRDefault="00A92F30" w:rsidP="00A92F30">
      <w:pPr>
        <w:rPr>
          <w:lang w:val="en-GB"/>
        </w:rPr>
      </w:pPr>
      <w:r>
        <w:rPr>
          <w:lang w:val="en-GB"/>
        </w:rPr>
        <w:t>GT7OE was tested on wide range of different SVG files, but the SVG specification is complex and the conversion may result in a visually different output. You can always load the .gt7 file into Inkscape and edit it manually there to apply corrections, then safe it as .gt7 file again.</w:t>
      </w:r>
    </w:p>
    <w:p w14:paraId="1E670A86" w14:textId="3B8627E6" w:rsidR="00A92F30" w:rsidRDefault="00A92F30" w:rsidP="00A92F30">
      <w:pPr>
        <w:pStyle w:val="Heading2"/>
        <w:rPr>
          <w:lang w:val="en-GB"/>
        </w:rPr>
      </w:pPr>
      <w:r>
        <w:rPr>
          <w:lang w:val="en-GB"/>
        </w:rPr>
        <w:t>GT7OE Options</w:t>
      </w:r>
    </w:p>
    <w:p w14:paraId="04C5F2F4" w14:textId="738B89B3" w:rsidR="00A92F30" w:rsidRPr="00A92F30" w:rsidRDefault="00A92F30" w:rsidP="00A92F30">
      <w:pPr>
        <w:rPr>
          <w:lang w:val="en-GB"/>
        </w:rPr>
      </w:pPr>
      <w:r>
        <w:rPr>
          <w:lang w:val="en-GB"/>
        </w:rPr>
        <w:t xml:space="preserve">Each time you safe your content as .gt7 file, Inkscape will pop up the below dialog to allow you to change </w:t>
      </w:r>
      <w:r w:rsidR="009400A7">
        <w:rPr>
          <w:lang w:val="en-GB"/>
        </w:rPr>
        <w:t>options for the conversion process.</w:t>
      </w:r>
    </w:p>
    <w:p w14:paraId="2093CD27" w14:textId="275EE564" w:rsidR="00CD15A4" w:rsidRDefault="00CD15A4" w:rsidP="00CD15A4">
      <w:pPr>
        <w:rPr>
          <w:lang w:val="en-GB"/>
        </w:rPr>
      </w:pPr>
      <w:r>
        <w:rPr>
          <w:noProof/>
        </w:rPr>
        <w:drawing>
          <wp:inline distT="0" distB="0" distL="0" distR="0" wp14:anchorId="7E92FB2D" wp14:editId="67BAE2FC">
            <wp:extent cx="2895600" cy="2019300"/>
            <wp:effectExtent l="0" t="0" r="0" b="0"/>
            <wp:docPr id="16330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7251" name=""/>
                    <pic:cNvPicPr/>
                  </pic:nvPicPr>
                  <pic:blipFill>
                    <a:blip r:embed="rId6"/>
                    <a:stretch>
                      <a:fillRect/>
                    </a:stretch>
                  </pic:blipFill>
                  <pic:spPr>
                    <a:xfrm>
                      <a:off x="0" y="0"/>
                      <a:ext cx="2895600" cy="2019300"/>
                    </a:xfrm>
                    <a:prstGeom prst="rect">
                      <a:avLst/>
                    </a:prstGeom>
                  </pic:spPr>
                </pic:pic>
              </a:graphicData>
            </a:graphic>
          </wp:inline>
        </w:drawing>
      </w:r>
    </w:p>
    <w:p w14:paraId="694835EA" w14:textId="62374262" w:rsidR="009400A7" w:rsidRPr="00CD15A4" w:rsidRDefault="009400A7" w:rsidP="00CD15A4">
      <w:pPr>
        <w:rPr>
          <w:lang w:val="en-GB"/>
        </w:rPr>
      </w:pPr>
      <w:r>
        <w:rPr>
          <w:lang w:val="en-GB"/>
        </w:rPr>
        <w:t>Here comes the explanation of the available options:</w:t>
      </w:r>
    </w:p>
    <w:tbl>
      <w:tblPr>
        <w:tblStyle w:val="TableGrid"/>
        <w:tblW w:w="0" w:type="auto"/>
        <w:tblLook w:val="04A0" w:firstRow="1" w:lastRow="0" w:firstColumn="1" w:lastColumn="0" w:noHBand="0" w:noVBand="1"/>
      </w:tblPr>
      <w:tblGrid>
        <w:gridCol w:w="2695"/>
        <w:gridCol w:w="4950"/>
        <w:gridCol w:w="1371"/>
      </w:tblGrid>
      <w:tr w:rsidR="009400A7" w14:paraId="0A1B8EF5" w14:textId="454E19B0" w:rsidTr="0098641C">
        <w:tc>
          <w:tcPr>
            <w:tcW w:w="2695" w:type="dxa"/>
          </w:tcPr>
          <w:p w14:paraId="70AD270D" w14:textId="056AACDF" w:rsidR="009400A7" w:rsidRDefault="009400A7" w:rsidP="00BF6959">
            <w:pPr>
              <w:rPr>
                <w:lang w:val="en-GB"/>
              </w:rPr>
            </w:pPr>
            <w:r>
              <w:rPr>
                <w:lang w:val="en-GB"/>
              </w:rPr>
              <w:t>Option</w:t>
            </w:r>
          </w:p>
        </w:tc>
        <w:tc>
          <w:tcPr>
            <w:tcW w:w="4950" w:type="dxa"/>
          </w:tcPr>
          <w:p w14:paraId="3DC0020D" w14:textId="4C4E90F2" w:rsidR="009400A7" w:rsidRDefault="009400A7" w:rsidP="00BF6959">
            <w:pPr>
              <w:rPr>
                <w:lang w:val="en-GB"/>
              </w:rPr>
            </w:pPr>
            <w:r>
              <w:rPr>
                <w:lang w:val="en-GB"/>
              </w:rPr>
              <w:t>Meaning</w:t>
            </w:r>
          </w:p>
        </w:tc>
        <w:tc>
          <w:tcPr>
            <w:tcW w:w="1371" w:type="dxa"/>
          </w:tcPr>
          <w:p w14:paraId="603C45B5" w14:textId="5747DFE0" w:rsidR="009400A7" w:rsidRDefault="009400A7" w:rsidP="00BF6959">
            <w:pPr>
              <w:rPr>
                <w:lang w:val="en-GB"/>
              </w:rPr>
            </w:pPr>
            <w:r>
              <w:rPr>
                <w:lang w:val="en-GB"/>
              </w:rPr>
              <w:t>Default</w:t>
            </w:r>
          </w:p>
        </w:tc>
      </w:tr>
      <w:tr w:rsidR="009400A7" w14:paraId="23EA7320" w14:textId="034B299E" w:rsidTr="0098641C">
        <w:tc>
          <w:tcPr>
            <w:tcW w:w="2695" w:type="dxa"/>
          </w:tcPr>
          <w:p w14:paraId="5E480580" w14:textId="43550D66" w:rsidR="009400A7" w:rsidRDefault="009400A7" w:rsidP="00BF6959">
            <w:pPr>
              <w:rPr>
                <w:lang w:val="en-GB"/>
              </w:rPr>
            </w:pPr>
            <w:r>
              <w:rPr>
                <w:lang w:val="en-GB"/>
              </w:rPr>
              <w:t>Strip alpha from gradients</w:t>
            </w:r>
          </w:p>
        </w:tc>
        <w:tc>
          <w:tcPr>
            <w:tcW w:w="4950" w:type="dxa"/>
          </w:tcPr>
          <w:p w14:paraId="0C07D7B2" w14:textId="1422F914" w:rsidR="009400A7" w:rsidRDefault="009400A7" w:rsidP="00BF6959">
            <w:pPr>
              <w:rPr>
                <w:lang w:val="en-GB"/>
              </w:rPr>
            </w:pPr>
            <w:r>
              <w:rPr>
                <w:lang w:val="en-GB"/>
              </w:rPr>
              <w:t xml:space="preserve">The GT7 Livery Editor usually refuses to load linear or radial gradients with </w:t>
            </w:r>
            <w:proofErr w:type="spellStart"/>
            <w:r>
              <w:rPr>
                <w:lang w:val="en-GB"/>
              </w:rPr>
              <w:t>color</w:t>
            </w:r>
            <w:proofErr w:type="spellEnd"/>
            <w:r>
              <w:rPr>
                <w:lang w:val="en-GB"/>
              </w:rPr>
              <w:t xml:space="preserve"> stops having transparency (alpha channel). When ticked, this option ensures that all alpha values are stripped from </w:t>
            </w:r>
            <w:proofErr w:type="spellStart"/>
            <w:r>
              <w:rPr>
                <w:lang w:val="en-GB"/>
              </w:rPr>
              <w:t>color</w:t>
            </w:r>
            <w:proofErr w:type="spellEnd"/>
            <w:r>
              <w:rPr>
                <w:lang w:val="en-GB"/>
              </w:rPr>
              <w:t xml:space="preserve"> stops.</w:t>
            </w:r>
          </w:p>
        </w:tc>
        <w:tc>
          <w:tcPr>
            <w:tcW w:w="1371" w:type="dxa"/>
          </w:tcPr>
          <w:p w14:paraId="75884559" w14:textId="3D7C7BAB" w:rsidR="009400A7" w:rsidRDefault="009400A7" w:rsidP="00BF6959">
            <w:pPr>
              <w:rPr>
                <w:lang w:val="en-GB"/>
              </w:rPr>
            </w:pPr>
            <w:r>
              <w:rPr>
                <w:lang w:val="en-GB"/>
              </w:rPr>
              <w:t>True</w:t>
            </w:r>
          </w:p>
        </w:tc>
      </w:tr>
      <w:tr w:rsidR="009400A7" w14:paraId="07BC3DC3" w14:textId="07D954F5" w:rsidTr="0098641C">
        <w:tc>
          <w:tcPr>
            <w:tcW w:w="2695" w:type="dxa"/>
          </w:tcPr>
          <w:p w14:paraId="744F5396" w14:textId="01E6D9BF" w:rsidR="009400A7" w:rsidRDefault="009400A7" w:rsidP="00BF6959">
            <w:pPr>
              <w:rPr>
                <w:lang w:val="en-GB"/>
              </w:rPr>
            </w:pPr>
            <w:r>
              <w:rPr>
                <w:lang w:val="en-GB"/>
              </w:rPr>
              <w:lastRenderedPageBreak/>
              <w:t>Coordinate rounding</w:t>
            </w:r>
          </w:p>
        </w:tc>
        <w:tc>
          <w:tcPr>
            <w:tcW w:w="4950" w:type="dxa"/>
          </w:tcPr>
          <w:p w14:paraId="423FE752" w14:textId="77777777" w:rsidR="009400A7" w:rsidRDefault="009400A7" w:rsidP="009400A7">
            <w:pPr>
              <w:rPr>
                <w:lang w:val="en-GB"/>
              </w:rPr>
            </w:pPr>
            <w:r w:rsidRPr="009400A7">
              <w:rPr>
                <w:lang w:val="en-GB"/>
              </w:rPr>
              <w:t>This option has two effects:</w:t>
            </w:r>
            <w:r w:rsidRPr="009400A7">
              <w:rPr>
                <w:lang w:val="en-GB"/>
              </w:rPr>
              <w:br/>
            </w:r>
          </w:p>
          <w:p w14:paraId="6C502AEE" w14:textId="7C13751C" w:rsidR="009400A7" w:rsidRDefault="009400A7" w:rsidP="009400A7">
            <w:pPr>
              <w:pStyle w:val="ListParagraph"/>
              <w:numPr>
                <w:ilvl w:val="0"/>
                <w:numId w:val="5"/>
              </w:numPr>
              <w:rPr>
                <w:lang w:val="en-GB"/>
              </w:rPr>
            </w:pPr>
            <w:r w:rsidRPr="009400A7">
              <w:rPr>
                <w:lang w:val="en-GB"/>
              </w:rPr>
              <w:t>Cutting of</w:t>
            </w:r>
            <w:r>
              <w:rPr>
                <w:lang w:val="en-GB"/>
              </w:rPr>
              <w:t>f</w:t>
            </w:r>
            <w:r w:rsidRPr="009400A7">
              <w:rPr>
                <w:lang w:val="en-GB"/>
              </w:rPr>
              <w:t xml:space="preserve"> decimal </w:t>
            </w:r>
            <w:r>
              <w:rPr>
                <w:lang w:val="en-GB"/>
              </w:rPr>
              <w:t>digits</w:t>
            </w:r>
            <w:r w:rsidRPr="009400A7">
              <w:rPr>
                <w:lang w:val="en-GB"/>
              </w:rPr>
              <w:t xml:space="preserve"> reduces file size considerably</w:t>
            </w:r>
          </w:p>
          <w:p w14:paraId="132327F8" w14:textId="6571CFEE" w:rsidR="009400A7" w:rsidRPr="009400A7" w:rsidRDefault="009400A7" w:rsidP="009400A7">
            <w:pPr>
              <w:pStyle w:val="ListParagraph"/>
              <w:numPr>
                <w:ilvl w:val="0"/>
                <w:numId w:val="5"/>
              </w:numPr>
              <w:rPr>
                <w:lang w:val="en-GB"/>
              </w:rPr>
            </w:pPr>
            <w:r>
              <w:rPr>
                <w:lang w:val="en-GB"/>
              </w:rPr>
              <w:t>The GT7 Livery Editor may display artifacts or even crash on SVG files containing paths with similar coordinates. Reducing the precision reduces the risk.</w:t>
            </w:r>
          </w:p>
          <w:p w14:paraId="22468DD7" w14:textId="21464010" w:rsidR="009400A7" w:rsidRPr="009400A7" w:rsidRDefault="009400A7" w:rsidP="009400A7">
            <w:pPr>
              <w:rPr>
                <w:lang w:val="en-GB"/>
              </w:rPr>
            </w:pPr>
          </w:p>
        </w:tc>
        <w:tc>
          <w:tcPr>
            <w:tcW w:w="1371" w:type="dxa"/>
          </w:tcPr>
          <w:p w14:paraId="379CFB85" w14:textId="5A42CB61" w:rsidR="009400A7" w:rsidRDefault="009400A7" w:rsidP="00BF6959">
            <w:pPr>
              <w:rPr>
                <w:lang w:val="en-GB"/>
              </w:rPr>
            </w:pPr>
            <w:r>
              <w:rPr>
                <w:lang w:val="en-GB"/>
              </w:rPr>
              <w:t>3</w:t>
            </w:r>
          </w:p>
        </w:tc>
      </w:tr>
      <w:tr w:rsidR="009400A7" w14:paraId="70669EA3" w14:textId="1C69DFDB" w:rsidTr="0098641C">
        <w:tc>
          <w:tcPr>
            <w:tcW w:w="2695" w:type="dxa"/>
          </w:tcPr>
          <w:p w14:paraId="5B9A0E59" w14:textId="1867F759" w:rsidR="009400A7" w:rsidRDefault="009400A7" w:rsidP="00BF6959">
            <w:pPr>
              <w:rPr>
                <w:lang w:val="en-GB"/>
              </w:rPr>
            </w:pPr>
            <w:r>
              <w:rPr>
                <w:lang w:val="en-GB"/>
              </w:rPr>
              <w:t>Gradient mesh subdivision count</w:t>
            </w:r>
          </w:p>
        </w:tc>
        <w:tc>
          <w:tcPr>
            <w:tcW w:w="4950" w:type="dxa"/>
          </w:tcPr>
          <w:p w14:paraId="40254220" w14:textId="5A8AB645" w:rsidR="009400A7" w:rsidRDefault="009400A7" w:rsidP="00BF6959">
            <w:pPr>
              <w:rPr>
                <w:lang w:val="en-GB"/>
              </w:rPr>
            </w:pPr>
            <w:r>
              <w:rPr>
                <w:lang w:val="en-GB"/>
              </w:rPr>
              <w:t>Support for mesh gradients is experimental. Shapes filled by mesh gradients are divided into triangles each filled with a linear gradient. The subdivision count controls in how many triangles the shape gets divided. A higher count may result in better output but blows up file size considerably.</w:t>
            </w:r>
          </w:p>
        </w:tc>
        <w:tc>
          <w:tcPr>
            <w:tcW w:w="1371" w:type="dxa"/>
          </w:tcPr>
          <w:p w14:paraId="24BD936D" w14:textId="167F4FE2" w:rsidR="009400A7" w:rsidRDefault="009400A7" w:rsidP="00BF6959">
            <w:pPr>
              <w:rPr>
                <w:lang w:val="en-GB"/>
              </w:rPr>
            </w:pPr>
            <w:r>
              <w:rPr>
                <w:lang w:val="en-GB"/>
              </w:rPr>
              <w:t>4</w:t>
            </w:r>
          </w:p>
        </w:tc>
      </w:tr>
      <w:tr w:rsidR="009400A7" w14:paraId="5E617AA7" w14:textId="17CD7F49" w:rsidTr="0098641C">
        <w:tc>
          <w:tcPr>
            <w:tcW w:w="2695" w:type="dxa"/>
          </w:tcPr>
          <w:p w14:paraId="74DB3432" w14:textId="792015A4" w:rsidR="009400A7" w:rsidRDefault="0098641C" w:rsidP="00BF6959">
            <w:pPr>
              <w:rPr>
                <w:lang w:val="en-GB"/>
              </w:rPr>
            </w:pPr>
            <w:r>
              <w:rPr>
                <w:lang w:val="en-GB"/>
              </w:rPr>
              <w:t>Compress exported GT7 file</w:t>
            </w:r>
          </w:p>
        </w:tc>
        <w:tc>
          <w:tcPr>
            <w:tcW w:w="4950" w:type="dxa"/>
          </w:tcPr>
          <w:p w14:paraId="186E6691" w14:textId="307FD565" w:rsidR="009400A7" w:rsidRDefault="0098641C" w:rsidP="00BF6959">
            <w:pPr>
              <w:rPr>
                <w:lang w:val="en-GB"/>
              </w:rPr>
            </w:pPr>
            <w:r>
              <w:rPr>
                <w:lang w:val="en-GB"/>
              </w:rPr>
              <w:t>Tick this option if you want to safe smaller files, untick it if you want to have human readable output. Compression in GT7OE is simple and does not modify geometry. Specialized compression tools may reduce file size by another 20% - 30%.</w:t>
            </w:r>
          </w:p>
        </w:tc>
        <w:tc>
          <w:tcPr>
            <w:tcW w:w="1371" w:type="dxa"/>
          </w:tcPr>
          <w:p w14:paraId="4198E052" w14:textId="48455CDF" w:rsidR="009400A7" w:rsidRDefault="0098641C" w:rsidP="00BF6959">
            <w:pPr>
              <w:rPr>
                <w:lang w:val="en-GB"/>
              </w:rPr>
            </w:pPr>
            <w:r>
              <w:rPr>
                <w:lang w:val="en-GB"/>
              </w:rPr>
              <w:t>True</w:t>
            </w:r>
          </w:p>
        </w:tc>
      </w:tr>
    </w:tbl>
    <w:p w14:paraId="6DC4242F" w14:textId="77777777" w:rsidR="00BF6959" w:rsidRDefault="00BF6959" w:rsidP="00BF6959">
      <w:pPr>
        <w:rPr>
          <w:lang w:val="en-GB"/>
        </w:rPr>
      </w:pPr>
    </w:p>
    <w:p w14:paraId="7BF3F4D5" w14:textId="2A42EB9F" w:rsidR="0098641C" w:rsidRDefault="0098641C" w:rsidP="0098641C">
      <w:pPr>
        <w:pStyle w:val="Heading2"/>
        <w:rPr>
          <w:lang w:val="en-GB"/>
        </w:rPr>
      </w:pPr>
      <w:r>
        <w:rPr>
          <w:lang w:val="en-GB"/>
        </w:rPr>
        <w:t xml:space="preserve">SVG </w:t>
      </w:r>
      <w:r w:rsidR="00D33ED1">
        <w:rPr>
          <w:lang w:val="en-GB"/>
        </w:rPr>
        <w:t>Features Supported</w:t>
      </w:r>
    </w:p>
    <w:p w14:paraId="54B009CD" w14:textId="2811092B" w:rsidR="0098641C" w:rsidRDefault="0098641C" w:rsidP="00BF6959">
      <w:pPr>
        <w:rPr>
          <w:lang w:val="en-GB"/>
        </w:rPr>
      </w:pPr>
      <w:r>
        <w:rPr>
          <w:lang w:val="en-GB"/>
        </w:rPr>
        <w:t xml:space="preserve">The following table shows </w:t>
      </w:r>
      <w:r w:rsidR="00D33ED1">
        <w:rPr>
          <w:lang w:val="en-GB"/>
        </w:rPr>
        <w:t>the</w:t>
      </w:r>
      <w:r>
        <w:rPr>
          <w:lang w:val="en-GB"/>
        </w:rPr>
        <w:t xml:space="preserve"> GT7OE support</w:t>
      </w:r>
      <w:r w:rsidR="00D33ED1">
        <w:rPr>
          <w:lang w:val="en-GB"/>
        </w:rPr>
        <w:t xml:space="preserve"> for</w:t>
      </w:r>
      <w:r>
        <w:rPr>
          <w:lang w:val="en-GB"/>
        </w:rPr>
        <w:t xml:space="preserve"> various SVG 2.0 features and </w:t>
      </w:r>
      <w:r w:rsidR="00D33ED1">
        <w:rPr>
          <w:lang w:val="en-GB"/>
        </w:rPr>
        <w:t xml:space="preserve">how </w:t>
      </w:r>
      <w:r>
        <w:rPr>
          <w:lang w:val="en-GB"/>
        </w:rPr>
        <w:t>they get converted into SVG 1.1</w:t>
      </w:r>
    </w:p>
    <w:tbl>
      <w:tblPr>
        <w:tblStyle w:val="TableGrid"/>
        <w:tblW w:w="0" w:type="auto"/>
        <w:tblLook w:val="04A0" w:firstRow="1" w:lastRow="0" w:firstColumn="1" w:lastColumn="0" w:noHBand="0" w:noVBand="1"/>
      </w:tblPr>
      <w:tblGrid>
        <w:gridCol w:w="2155"/>
        <w:gridCol w:w="2528"/>
        <w:gridCol w:w="4333"/>
      </w:tblGrid>
      <w:tr w:rsidR="00CB14AC" w14:paraId="02618341" w14:textId="77777777" w:rsidTr="00CB14AC">
        <w:tc>
          <w:tcPr>
            <w:tcW w:w="2155" w:type="dxa"/>
          </w:tcPr>
          <w:p w14:paraId="223E5E76" w14:textId="63CF0FD3" w:rsidR="00CB14AC" w:rsidRDefault="00CB14AC" w:rsidP="00BF6959">
            <w:pPr>
              <w:rPr>
                <w:lang w:val="en-GB"/>
              </w:rPr>
            </w:pPr>
            <w:r>
              <w:rPr>
                <w:lang w:val="en-GB"/>
              </w:rPr>
              <w:t>Support</w:t>
            </w:r>
          </w:p>
        </w:tc>
        <w:tc>
          <w:tcPr>
            <w:tcW w:w="2528" w:type="dxa"/>
          </w:tcPr>
          <w:p w14:paraId="73568742" w14:textId="401289D4" w:rsidR="00CB14AC" w:rsidRDefault="00CB14AC" w:rsidP="00BF6959">
            <w:pPr>
              <w:rPr>
                <w:lang w:val="en-GB"/>
              </w:rPr>
            </w:pPr>
            <w:r>
              <w:rPr>
                <w:lang w:val="en-GB"/>
              </w:rPr>
              <w:t>Feature</w:t>
            </w:r>
          </w:p>
        </w:tc>
        <w:tc>
          <w:tcPr>
            <w:tcW w:w="4333" w:type="dxa"/>
          </w:tcPr>
          <w:p w14:paraId="598FF2C6" w14:textId="315DB23B" w:rsidR="00CB14AC" w:rsidRDefault="00CB14AC" w:rsidP="00BF6959">
            <w:pPr>
              <w:rPr>
                <w:lang w:val="en-GB"/>
              </w:rPr>
            </w:pPr>
            <w:r>
              <w:rPr>
                <w:lang w:val="en-GB"/>
              </w:rPr>
              <w:t>GT7OE Conversion</w:t>
            </w:r>
          </w:p>
        </w:tc>
      </w:tr>
      <w:tr w:rsidR="00CB14AC" w:rsidRPr="00CB14AC" w14:paraId="3646DE2C" w14:textId="77777777" w:rsidTr="00CB14AC">
        <w:tc>
          <w:tcPr>
            <w:tcW w:w="2155" w:type="dxa"/>
          </w:tcPr>
          <w:p w14:paraId="0C20DAB3" w14:textId="04C22427" w:rsidR="00CB14AC" w:rsidRDefault="00CB14AC" w:rsidP="00BF6959">
            <w:pPr>
              <w:rPr>
                <w:lang w:val="en-GB"/>
              </w:rPr>
            </w:pPr>
            <w:r>
              <w:rPr>
                <w:noProof/>
                <w:lang w:val="en-GB"/>
              </w:rPr>
              <w:drawing>
                <wp:inline distT="0" distB="0" distL="0" distR="0" wp14:anchorId="26F18DAA" wp14:editId="73E711D0">
                  <wp:extent cx="477078" cy="477078"/>
                  <wp:effectExtent l="0" t="0" r="0" b="0"/>
                  <wp:docPr id="1730932570"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71F5089C" w14:textId="4DBAA38B" w:rsidR="00CB14AC" w:rsidRDefault="00CB14AC" w:rsidP="00BF6959">
            <w:pPr>
              <w:rPr>
                <w:lang w:val="en-GB"/>
              </w:rPr>
            </w:pPr>
            <w:r>
              <w:rPr>
                <w:lang w:val="en-GB"/>
              </w:rPr>
              <w:t>Geometry elements (&lt;</w:t>
            </w:r>
            <w:proofErr w:type="spellStart"/>
            <w:r>
              <w:rPr>
                <w:lang w:val="en-GB"/>
              </w:rPr>
              <w:t>rect</w:t>
            </w:r>
            <w:proofErr w:type="spellEnd"/>
            <w:r>
              <w:rPr>
                <w:lang w:val="en-GB"/>
              </w:rPr>
              <w:t>&gt;, &lt;circle&gt;, &lt;ellipse&gt;, &lt;polygon&gt;, &lt;polyline&gt;, &lt;line&gt;, &lt;path&gt;)</w:t>
            </w:r>
          </w:p>
        </w:tc>
        <w:tc>
          <w:tcPr>
            <w:tcW w:w="4333" w:type="dxa"/>
          </w:tcPr>
          <w:p w14:paraId="500438DA" w14:textId="2EA6D409" w:rsidR="00CB14AC" w:rsidRDefault="00CB14AC" w:rsidP="00BF6959">
            <w:pPr>
              <w:rPr>
                <w:lang w:val="en-GB"/>
              </w:rPr>
            </w:pPr>
            <w:r>
              <w:rPr>
                <w:lang w:val="en-GB"/>
              </w:rPr>
              <w:t>Will be converted retaining shape and presentation attributes. &lt;</w:t>
            </w:r>
            <w:proofErr w:type="spellStart"/>
            <w:r>
              <w:rPr>
                <w:lang w:val="en-GB"/>
              </w:rPr>
              <w:t>rect</w:t>
            </w:r>
            <w:proofErr w:type="spellEnd"/>
            <w:r>
              <w:rPr>
                <w:lang w:val="en-GB"/>
              </w:rPr>
              <w:t>&gt;, &lt;circle&gt;, and &lt;path&gt; elements are retained if possible, all other elements are converted to &lt;path&gt;.</w:t>
            </w:r>
          </w:p>
          <w:p w14:paraId="60584B1F" w14:textId="417A2E01" w:rsidR="00CB14AC" w:rsidRDefault="00D33ED1" w:rsidP="00BF6959">
            <w:pPr>
              <w:rPr>
                <w:lang w:val="en-GB"/>
              </w:rPr>
            </w:pPr>
            <w:r>
              <w:rPr>
                <w:lang w:val="en-GB"/>
              </w:rPr>
              <w:br/>
            </w:r>
            <w:r w:rsidR="00CB14AC">
              <w:rPr>
                <w:lang w:val="en-GB"/>
              </w:rPr>
              <w:t>As GT7OE removes all transformations from the SVG tree, &lt;</w:t>
            </w:r>
            <w:proofErr w:type="spellStart"/>
            <w:r w:rsidR="00CB14AC">
              <w:rPr>
                <w:lang w:val="en-GB"/>
              </w:rPr>
              <w:t>rect</w:t>
            </w:r>
            <w:proofErr w:type="spellEnd"/>
            <w:r w:rsidR="00CB14AC">
              <w:rPr>
                <w:lang w:val="en-GB"/>
              </w:rPr>
              <w:t>&gt; and &lt;circle&gt; will be replaced by &lt;path&gt; if complex transformations need to be applied.</w:t>
            </w:r>
          </w:p>
        </w:tc>
      </w:tr>
      <w:tr w:rsidR="00D1769E" w:rsidRPr="00CB14AC" w14:paraId="24C12308" w14:textId="77777777" w:rsidTr="00CB14AC">
        <w:tc>
          <w:tcPr>
            <w:tcW w:w="2155" w:type="dxa"/>
          </w:tcPr>
          <w:p w14:paraId="449F7642" w14:textId="01A4F616" w:rsidR="00D1769E" w:rsidRDefault="00D1769E" w:rsidP="00BF6959">
            <w:pPr>
              <w:rPr>
                <w:noProof/>
                <w:lang w:val="en-GB"/>
              </w:rPr>
            </w:pPr>
            <w:r>
              <w:rPr>
                <w:noProof/>
                <w:lang w:val="en-GB"/>
              </w:rPr>
              <w:drawing>
                <wp:inline distT="0" distB="0" distL="0" distR="0" wp14:anchorId="3081620A" wp14:editId="6E9AEE60">
                  <wp:extent cx="477078" cy="477078"/>
                  <wp:effectExtent l="0" t="0" r="0" b="0"/>
                  <wp:docPr id="2008763535"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348894EC" w14:textId="250010CE" w:rsidR="00D1769E" w:rsidRDefault="00D1769E" w:rsidP="00BF6959">
            <w:pPr>
              <w:rPr>
                <w:lang w:val="en-GB"/>
              </w:rPr>
            </w:pPr>
            <w:r>
              <w:rPr>
                <w:lang w:val="en-GB"/>
              </w:rPr>
              <w:t>Styles</w:t>
            </w:r>
          </w:p>
        </w:tc>
        <w:tc>
          <w:tcPr>
            <w:tcW w:w="4333" w:type="dxa"/>
          </w:tcPr>
          <w:p w14:paraId="76C5FE7E" w14:textId="14CA9315" w:rsidR="00D1769E" w:rsidRDefault="00D1769E" w:rsidP="00BF6959">
            <w:pPr>
              <w:rPr>
                <w:lang w:val="en-GB"/>
              </w:rPr>
            </w:pPr>
            <w:r>
              <w:rPr>
                <w:lang w:val="en-GB"/>
              </w:rPr>
              <w:t>All styles (style attributes as well as CSS styles under a &lt;styles&gt; node will be converted to plain presentation attributes.</w:t>
            </w:r>
          </w:p>
        </w:tc>
      </w:tr>
      <w:tr w:rsidR="00D1769E" w:rsidRPr="00CB14AC" w14:paraId="7B95D980" w14:textId="77777777" w:rsidTr="00CB14AC">
        <w:tc>
          <w:tcPr>
            <w:tcW w:w="2155" w:type="dxa"/>
          </w:tcPr>
          <w:p w14:paraId="47B64E60" w14:textId="75FF8316" w:rsidR="00D1769E" w:rsidRDefault="00D1769E" w:rsidP="00BF6959">
            <w:pPr>
              <w:rPr>
                <w:noProof/>
                <w:lang w:val="en-GB"/>
              </w:rPr>
            </w:pPr>
            <w:r>
              <w:rPr>
                <w:noProof/>
                <w:lang w:val="en-GB"/>
              </w:rPr>
              <w:drawing>
                <wp:inline distT="0" distB="0" distL="0" distR="0" wp14:anchorId="6654E9C9" wp14:editId="6299BB87">
                  <wp:extent cx="477078" cy="477078"/>
                  <wp:effectExtent l="0" t="0" r="0" b="0"/>
                  <wp:docPr id="1133216650"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37E9A333" w14:textId="587A2051" w:rsidR="00D1769E" w:rsidRDefault="00D1769E" w:rsidP="00BF6959">
            <w:pPr>
              <w:rPr>
                <w:lang w:val="en-GB"/>
              </w:rPr>
            </w:pPr>
            <w:r>
              <w:rPr>
                <w:lang w:val="en-GB"/>
              </w:rPr>
              <w:t>Units</w:t>
            </w:r>
          </w:p>
        </w:tc>
        <w:tc>
          <w:tcPr>
            <w:tcW w:w="4333" w:type="dxa"/>
          </w:tcPr>
          <w:p w14:paraId="1926ABB4" w14:textId="01BF1141" w:rsidR="00D1769E" w:rsidRDefault="00D1769E" w:rsidP="00BF6959">
            <w:pPr>
              <w:rPr>
                <w:lang w:val="en-GB"/>
              </w:rPr>
            </w:pPr>
            <w:r>
              <w:rPr>
                <w:lang w:val="en-GB"/>
              </w:rPr>
              <w:t>All units (like mm, cm, in, etc.) are converted to pixel coordinates.</w:t>
            </w:r>
          </w:p>
        </w:tc>
      </w:tr>
      <w:tr w:rsidR="00D33ED1" w:rsidRPr="00CB14AC" w14:paraId="182A0EE5" w14:textId="77777777" w:rsidTr="00CB14AC">
        <w:tc>
          <w:tcPr>
            <w:tcW w:w="2155" w:type="dxa"/>
          </w:tcPr>
          <w:p w14:paraId="6E4A9ECB" w14:textId="0C514A1F" w:rsidR="00D33ED1" w:rsidRDefault="00D33ED1" w:rsidP="00BF6959">
            <w:pPr>
              <w:rPr>
                <w:noProof/>
                <w:lang w:val="en-GB"/>
              </w:rPr>
            </w:pPr>
            <w:r>
              <w:rPr>
                <w:noProof/>
                <w:lang w:val="en-GB"/>
              </w:rPr>
              <w:drawing>
                <wp:inline distT="0" distB="0" distL="0" distR="0" wp14:anchorId="2595332C" wp14:editId="67D8E364">
                  <wp:extent cx="477078" cy="477078"/>
                  <wp:effectExtent l="0" t="0" r="0" b="0"/>
                  <wp:docPr id="1382597083"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3FBAD3AC" w14:textId="49F11016" w:rsidR="00D33ED1" w:rsidRDefault="00D33ED1" w:rsidP="00BF6959">
            <w:pPr>
              <w:rPr>
                <w:lang w:val="en-GB"/>
              </w:rPr>
            </w:pPr>
            <w:r>
              <w:rPr>
                <w:lang w:val="en-GB"/>
              </w:rPr>
              <w:t>Strokes</w:t>
            </w:r>
          </w:p>
        </w:tc>
        <w:tc>
          <w:tcPr>
            <w:tcW w:w="4333" w:type="dxa"/>
          </w:tcPr>
          <w:p w14:paraId="7D57461F" w14:textId="60D4096B" w:rsidR="00D33ED1" w:rsidRDefault="00D33ED1" w:rsidP="00BF6959">
            <w:pPr>
              <w:rPr>
                <w:lang w:val="en-GB"/>
              </w:rPr>
            </w:pPr>
            <w:r>
              <w:rPr>
                <w:lang w:val="en-GB"/>
              </w:rPr>
              <w:t>Stroke attributes are removed from shapes if stroke is set to “none” or stroke-width is zero. This prevents the GT7 Livery editor to display a 1 pixel wide default stroke.</w:t>
            </w:r>
            <w:r>
              <w:rPr>
                <w:lang w:val="en-GB"/>
              </w:rPr>
              <w:br/>
            </w:r>
            <w:r>
              <w:rPr>
                <w:lang w:val="en-GB"/>
              </w:rPr>
              <w:br/>
              <w:t xml:space="preserve">Pure strokes (non-closed paths) are </w:t>
            </w:r>
            <w:r>
              <w:rPr>
                <w:lang w:val="en-GB"/>
              </w:rPr>
              <w:lastRenderedPageBreak/>
              <w:t>retained unless they need to be clipped. In that case strokes are converted to closed paths.</w:t>
            </w:r>
          </w:p>
        </w:tc>
      </w:tr>
      <w:tr w:rsidR="00CB14AC" w:rsidRPr="00CB14AC" w14:paraId="4F3BB46C" w14:textId="77777777" w:rsidTr="00CB14AC">
        <w:tc>
          <w:tcPr>
            <w:tcW w:w="2155" w:type="dxa"/>
          </w:tcPr>
          <w:p w14:paraId="6361D3E5" w14:textId="0DDF9B79" w:rsidR="00CB14AC" w:rsidRDefault="00CB14AC" w:rsidP="00BF6959">
            <w:pPr>
              <w:rPr>
                <w:noProof/>
                <w:lang w:val="en-GB"/>
              </w:rPr>
            </w:pPr>
            <w:r>
              <w:rPr>
                <w:noProof/>
                <w:lang w:val="en-GB"/>
              </w:rPr>
              <w:lastRenderedPageBreak/>
              <w:drawing>
                <wp:inline distT="0" distB="0" distL="0" distR="0" wp14:anchorId="565C1FF0" wp14:editId="27420FC2">
                  <wp:extent cx="477078" cy="477078"/>
                  <wp:effectExtent l="0" t="0" r="0" b="0"/>
                  <wp:docPr id="2076090621"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3B0AD3E7" w14:textId="4BF3D796" w:rsidR="00CB14AC" w:rsidRDefault="00CB14AC" w:rsidP="00BF6959">
            <w:pPr>
              <w:rPr>
                <w:lang w:val="en-GB"/>
              </w:rPr>
            </w:pPr>
            <w:r>
              <w:rPr>
                <w:lang w:val="en-GB"/>
              </w:rPr>
              <w:t>References vi</w:t>
            </w:r>
            <w:r w:rsidR="00D33ED1">
              <w:rPr>
                <w:lang w:val="en-GB"/>
              </w:rPr>
              <w:t>a</w:t>
            </w:r>
            <w:r>
              <w:rPr>
                <w:lang w:val="en-GB"/>
              </w:rPr>
              <w:t xml:space="preserve"> &lt;use&gt;</w:t>
            </w:r>
          </w:p>
        </w:tc>
        <w:tc>
          <w:tcPr>
            <w:tcW w:w="4333" w:type="dxa"/>
          </w:tcPr>
          <w:p w14:paraId="29702B59" w14:textId="45A4AAFB" w:rsidR="00CB14AC" w:rsidRDefault="00CB14AC" w:rsidP="00BF6959">
            <w:pPr>
              <w:rPr>
                <w:lang w:val="en-GB"/>
              </w:rPr>
            </w:pPr>
            <w:r>
              <w:rPr>
                <w:lang w:val="en-GB"/>
              </w:rPr>
              <w:t xml:space="preserve">Used geometry is replicated and </w:t>
            </w:r>
            <w:proofErr w:type="spellStart"/>
            <w:r>
              <w:rPr>
                <w:lang w:val="en-GB"/>
              </w:rPr>
              <w:t>inlined</w:t>
            </w:r>
            <w:proofErr w:type="spellEnd"/>
            <w:r>
              <w:rPr>
                <w:lang w:val="en-GB"/>
              </w:rPr>
              <w:t xml:space="preserve"> into the main SVG file. Exploding uses references may bloat the file size.</w:t>
            </w:r>
          </w:p>
        </w:tc>
      </w:tr>
      <w:tr w:rsidR="00CB14AC" w:rsidRPr="00CB14AC" w14:paraId="7D60F6D4" w14:textId="77777777" w:rsidTr="00CB14AC">
        <w:tc>
          <w:tcPr>
            <w:tcW w:w="2155" w:type="dxa"/>
          </w:tcPr>
          <w:p w14:paraId="4A805E1B" w14:textId="2D15AAED" w:rsidR="00CB14AC" w:rsidRDefault="00CB14AC" w:rsidP="00BF6959">
            <w:pPr>
              <w:rPr>
                <w:noProof/>
                <w:lang w:val="en-GB"/>
              </w:rPr>
            </w:pPr>
            <w:r>
              <w:rPr>
                <w:noProof/>
                <w:lang w:val="en-GB"/>
              </w:rPr>
              <w:drawing>
                <wp:inline distT="0" distB="0" distL="0" distR="0" wp14:anchorId="334B15BF" wp14:editId="628E1D72">
                  <wp:extent cx="477078" cy="477078"/>
                  <wp:effectExtent l="0" t="0" r="0" b="0"/>
                  <wp:docPr id="2085809496"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39A72127" w14:textId="5239606D" w:rsidR="00CB14AC" w:rsidRDefault="00CB14AC" w:rsidP="00BF6959">
            <w:pPr>
              <w:rPr>
                <w:lang w:val="en-GB"/>
              </w:rPr>
            </w:pPr>
            <w:proofErr w:type="spellStart"/>
            <w:r>
              <w:rPr>
                <w:lang w:val="en-GB"/>
              </w:rPr>
              <w:t>Clippath</w:t>
            </w:r>
            <w:proofErr w:type="spellEnd"/>
          </w:p>
        </w:tc>
        <w:tc>
          <w:tcPr>
            <w:tcW w:w="4333" w:type="dxa"/>
          </w:tcPr>
          <w:p w14:paraId="5BAFABDC" w14:textId="5FBBACDE" w:rsidR="00CB14AC" w:rsidRDefault="00CB14AC" w:rsidP="00BF6959">
            <w:pPr>
              <w:rPr>
                <w:lang w:val="en-GB"/>
              </w:rPr>
            </w:pPr>
            <w:proofErr w:type="spellStart"/>
            <w:r>
              <w:rPr>
                <w:lang w:val="en-GB"/>
              </w:rPr>
              <w:t>Clippaths</w:t>
            </w:r>
            <w:proofErr w:type="spellEnd"/>
            <w:r>
              <w:rPr>
                <w:lang w:val="en-GB"/>
              </w:rPr>
              <w:t xml:space="preserve"> are resolved by clipping the visual geometry and then removing the </w:t>
            </w:r>
            <w:proofErr w:type="spellStart"/>
            <w:r>
              <w:rPr>
                <w:lang w:val="en-GB"/>
              </w:rPr>
              <w:t>clippath</w:t>
            </w:r>
            <w:proofErr w:type="spellEnd"/>
            <w:r>
              <w:rPr>
                <w:lang w:val="en-GB"/>
              </w:rPr>
              <w:t>.</w:t>
            </w:r>
          </w:p>
        </w:tc>
      </w:tr>
      <w:tr w:rsidR="00CB14AC" w:rsidRPr="00CB14AC" w14:paraId="151758E5" w14:textId="77777777" w:rsidTr="00CB14AC">
        <w:tc>
          <w:tcPr>
            <w:tcW w:w="2155" w:type="dxa"/>
          </w:tcPr>
          <w:p w14:paraId="43145EEC" w14:textId="0E58DDB1" w:rsidR="00CB14AC" w:rsidRDefault="00CB14AC" w:rsidP="00BF6959">
            <w:pPr>
              <w:rPr>
                <w:lang w:val="en-GB"/>
              </w:rPr>
            </w:pPr>
            <w:r>
              <w:rPr>
                <w:noProof/>
                <w:lang w:val="en-GB"/>
              </w:rPr>
              <w:drawing>
                <wp:inline distT="0" distB="0" distL="0" distR="0" wp14:anchorId="023D77B1" wp14:editId="0B25711C">
                  <wp:extent cx="477078" cy="477078"/>
                  <wp:effectExtent l="0" t="0" r="0" b="0"/>
                  <wp:docPr id="942582943"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57C605C4" w14:textId="32B3D018" w:rsidR="00CB14AC" w:rsidRDefault="00CB14AC" w:rsidP="00BF6959">
            <w:pPr>
              <w:rPr>
                <w:lang w:val="en-GB"/>
              </w:rPr>
            </w:pPr>
            <w:r>
              <w:rPr>
                <w:lang w:val="en-GB"/>
              </w:rPr>
              <w:t>Linear and radial gradients</w:t>
            </w:r>
          </w:p>
        </w:tc>
        <w:tc>
          <w:tcPr>
            <w:tcW w:w="4333" w:type="dxa"/>
          </w:tcPr>
          <w:p w14:paraId="62D80A7D" w14:textId="5DFA7ED0" w:rsidR="00CB14AC" w:rsidRDefault="00CB14AC" w:rsidP="00BF6959">
            <w:pPr>
              <w:rPr>
                <w:lang w:val="en-GB"/>
              </w:rPr>
            </w:pPr>
            <w:r>
              <w:rPr>
                <w:lang w:val="en-GB"/>
              </w:rPr>
              <w:t xml:space="preserve">Gradients are normalized and simplified as per GT7 restrictions, i.e. only two stop </w:t>
            </w:r>
            <w:proofErr w:type="spellStart"/>
            <w:r>
              <w:rPr>
                <w:lang w:val="en-GB"/>
              </w:rPr>
              <w:t>colors</w:t>
            </w:r>
            <w:proofErr w:type="spellEnd"/>
            <w:r>
              <w:rPr>
                <w:lang w:val="en-GB"/>
              </w:rPr>
              <w:t xml:space="preserve"> at 0% and 100% are retained. </w:t>
            </w:r>
          </w:p>
        </w:tc>
      </w:tr>
      <w:tr w:rsidR="00CB14AC" w:rsidRPr="00CB14AC" w14:paraId="3563FAE5" w14:textId="77777777" w:rsidTr="00CB14AC">
        <w:tc>
          <w:tcPr>
            <w:tcW w:w="2155" w:type="dxa"/>
          </w:tcPr>
          <w:p w14:paraId="7BFDAD82" w14:textId="2A6AEE8E" w:rsidR="00CB14AC" w:rsidRDefault="00CB14AC" w:rsidP="00BF6959">
            <w:pPr>
              <w:rPr>
                <w:lang w:val="en-GB"/>
              </w:rPr>
            </w:pPr>
            <w:r>
              <w:rPr>
                <w:noProof/>
                <w:lang w:val="en-GB"/>
              </w:rPr>
              <w:drawing>
                <wp:inline distT="0" distB="0" distL="0" distR="0" wp14:anchorId="634E8A50" wp14:editId="78434044">
                  <wp:extent cx="477078" cy="477078"/>
                  <wp:effectExtent l="0" t="0" r="0" b="0"/>
                  <wp:docPr id="1853506948"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481095" cy="481095"/>
                          </a:xfrm>
                          <a:prstGeom prst="rect">
                            <a:avLst/>
                          </a:prstGeom>
                        </pic:spPr>
                      </pic:pic>
                    </a:graphicData>
                  </a:graphic>
                </wp:inline>
              </w:drawing>
            </w:r>
          </w:p>
        </w:tc>
        <w:tc>
          <w:tcPr>
            <w:tcW w:w="2528" w:type="dxa"/>
          </w:tcPr>
          <w:p w14:paraId="3BBA09DB" w14:textId="656C6A5B" w:rsidR="00CB14AC" w:rsidRDefault="00CB14AC" w:rsidP="00BF6959">
            <w:pPr>
              <w:rPr>
                <w:lang w:val="en-GB"/>
              </w:rPr>
            </w:pPr>
            <w:r>
              <w:rPr>
                <w:lang w:val="en-GB"/>
              </w:rPr>
              <w:t>Mesh gradients</w:t>
            </w:r>
          </w:p>
        </w:tc>
        <w:tc>
          <w:tcPr>
            <w:tcW w:w="4333" w:type="dxa"/>
          </w:tcPr>
          <w:p w14:paraId="6B18E707" w14:textId="7E71ED63" w:rsidR="00CB14AC" w:rsidRDefault="00CB14AC" w:rsidP="00BF6959">
            <w:pPr>
              <w:rPr>
                <w:lang w:val="en-GB"/>
              </w:rPr>
            </w:pPr>
            <w:r>
              <w:rPr>
                <w:lang w:val="en-GB"/>
              </w:rPr>
              <w:t>Experimental support only. Shapes filled by mesh gradients are triangulated into smaller shapes that each get filled with a linear gradient to approximate the look of the input geometry.</w:t>
            </w:r>
          </w:p>
        </w:tc>
      </w:tr>
      <w:tr w:rsidR="00CB14AC" w:rsidRPr="00CB14AC" w14:paraId="19E6DCBD" w14:textId="77777777" w:rsidTr="00CB14AC">
        <w:tc>
          <w:tcPr>
            <w:tcW w:w="2155" w:type="dxa"/>
          </w:tcPr>
          <w:p w14:paraId="7D8D97A7" w14:textId="6F9C50C6" w:rsidR="00CB14AC" w:rsidRDefault="00CB14AC" w:rsidP="00BF6959">
            <w:pPr>
              <w:rPr>
                <w:lang w:val="en-GB"/>
              </w:rPr>
            </w:pPr>
            <w:r>
              <w:rPr>
                <w:noProof/>
                <w:lang w:val="en-GB"/>
              </w:rPr>
              <w:drawing>
                <wp:inline distT="0" distB="0" distL="0" distR="0" wp14:anchorId="5AD3B1DE" wp14:editId="065B67E5">
                  <wp:extent cx="477078" cy="477078"/>
                  <wp:effectExtent l="0" t="0" r="0" b="0"/>
                  <wp:docPr id="1298030906"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579CE6B3" w14:textId="62146D1A" w:rsidR="00CB14AC" w:rsidRDefault="00CB14AC" w:rsidP="00BF6959">
            <w:pPr>
              <w:rPr>
                <w:lang w:val="en-GB"/>
              </w:rPr>
            </w:pPr>
            <w:r>
              <w:rPr>
                <w:lang w:val="en-GB"/>
              </w:rPr>
              <w:t>Pattern</w:t>
            </w:r>
          </w:p>
        </w:tc>
        <w:tc>
          <w:tcPr>
            <w:tcW w:w="4333" w:type="dxa"/>
          </w:tcPr>
          <w:p w14:paraId="394B541E" w14:textId="63244271" w:rsidR="00CB14AC" w:rsidRDefault="00CB14AC" w:rsidP="00BF6959">
            <w:pPr>
              <w:rPr>
                <w:lang w:val="en-GB"/>
              </w:rPr>
            </w:pPr>
            <w:r>
              <w:rPr>
                <w:lang w:val="en-GB"/>
              </w:rPr>
              <w:t>Pattern are resolved into plain geometry. While the visual appearance is retained, the file size will explode with number or pattern tiles and complexity of the pattern geometry.</w:t>
            </w:r>
          </w:p>
        </w:tc>
      </w:tr>
      <w:tr w:rsidR="00CB14AC" w:rsidRPr="00CB14AC" w14:paraId="01464315" w14:textId="77777777" w:rsidTr="00CB14AC">
        <w:tc>
          <w:tcPr>
            <w:tcW w:w="2155" w:type="dxa"/>
          </w:tcPr>
          <w:p w14:paraId="2670A1E1" w14:textId="3F1918BA" w:rsidR="00CB14AC" w:rsidRDefault="00CB14AC" w:rsidP="00BF6959">
            <w:pPr>
              <w:rPr>
                <w:noProof/>
                <w:lang w:val="en-GB"/>
              </w:rPr>
            </w:pPr>
            <w:r>
              <w:rPr>
                <w:noProof/>
                <w:lang w:val="en-GB"/>
              </w:rPr>
              <w:drawing>
                <wp:inline distT="0" distB="0" distL="0" distR="0" wp14:anchorId="40D66E43" wp14:editId="7D50E03F">
                  <wp:extent cx="477078" cy="477078"/>
                  <wp:effectExtent l="0" t="0" r="0" b="0"/>
                  <wp:docPr id="1531748648"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49FF0E94" w14:textId="0CE79940" w:rsidR="00CB14AC" w:rsidRDefault="00CB14AC" w:rsidP="00BF6959">
            <w:pPr>
              <w:rPr>
                <w:lang w:val="en-GB"/>
              </w:rPr>
            </w:pPr>
            <w:r>
              <w:rPr>
                <w:lang w:val="en-GB"/>
              </w:rPr>
              <w:t>Marker</w:t>
            </w:r>
          </w:p>
        </w:tc>
        <w:tc>
          <w:tcPr>
            <w:tcW w:w="4333" w:type="dxa"/>
          </w:tcPr>
          <w:p w14:paraId="58DF1570" w14:textId="6ABF1093" w:rsidR="00CB14AC" w:rsidRDefault="00CB14AC" w:rsidP="00BF6959">
            <w:pPr>
              <w:rPr>
                <w:lang w:val="en-GB"/>
              </w:rPr>
            </w:pPr>
            <w:r>
              <w:rPr>
                <w:lang w:val="en-GB"/>
              </w:rPr>
              <w:t>Marker are resolved into plain geometry</w:t>
            </w:r>
            <w:r w:rsidR="00D33ED1">
              <w:rPr>
                <w:lang w:val="en-GB"/>
              </w:rPr>
              <w:t xml:space="preserve"> and </w:t>
            </w:r>
            <w:proofErr w:type="spellStart"/>
            <w:r w:rsidR="00D33ED1">
              <w:rPr>
                <w:lang w:val="en-GB"/>
              </w:rPr>
              <w:t>inlined</w:t>
            </w:r>
            <w:proofErr w:type="spellEnd"/>
            <w:r w:rsidR="00D33ED1">
              <w:rPr>
                <w:lang w:val="en-GB"/>
              </w:rPr>
              <w:t xml:space="preserve"> into the main SVG content. Complex markers can bloat the output file size.</w:t>
            </w:r>
          </w:p>
        </w:tc>
      </w:tr>
      <w:tr w:rsidR="00D33ED1" w:rsidRPr="00CB14AC" w14:paraId="503DC88B" w14:textId="77777777" w:rsidTr="00CB14AC">
        <w:tc>
          <w:tcPr>
            <w:tcW w:w="2155" w:type="dxa"/>
          </w:tcPr>
          <w:p w14:paraId="009A2DE9" w14:textId="6AEFB034" w:rsidR="00D33ED1" w:rsidRDefault="00D33ED1" w:rsidP="00BF6959">
            <w:pPr>
              <w:rPr>
                <w:noProof/>
                <w:lang w:val="en-GB"/>
              </w:rPr>
            </w:pPr>
            <w:r>
              <w:rPr>
                <w:noProof/>
                <w:lang w:val="en-GB"/>
              </w:rPr>
              <w:drawing>
                <wp:inline distT="0" distB="0" distL="0" distR="0" wp14:anchorId="08479FD3" wp14:editId="3ECB088A">
                  <wp:extent cx="477078" cy="477078"/>
                  <wp:effectExtent l="0" t="0" r="0" b="0"/>
                  <wp:docPr id="1348462572" name="Graphic 1"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570" name="Graphic 1730932570" descr="Thumbs up sign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81095" cy="481095"/>
                          </a:xfrm>
                          <a:prstGeom prst="rect">
                            <a:avLst/>
                          </a:prstGeom>
                        </pic:spPr>
                      </pic:pic>
                    </a:graphicData>
                  </a:graphic>
                </wp:inline>
              </w:drawing>
            </w:r>
          </w:p>
        </w:tc>
        <w:tc>
          <w:tcPr>
            <w:tcW w:w="2528" w:type="dxa"/>
          </w:tcPr>
          <w:p w14:paraId="35DFE823" w14:textId="721F4CBF" w:rsidR="00D33ED1" w:rsidRDefault="00D33ED1" w:rsidP="00BF6959">
            <w:pPr>
              <w:rPr>
                <w:lang w:val="en-GB"/>
              </w:rPr>
            </w:pPr>
            <w:r>
              <w:rPr>
                <w:lang w:val="en-GB"/>
              </w:rPr>
              <w:t>Fonts and Glyphs</w:t>
            </w:r>
          </w:p>
        </w:tc>
        <w:tc>
          <w:tcPr>
            <w:tcW w:w="4333" w:type="dxa"/>
          </w:tcPr>
          <w:p w14:paraId="69D94BCC" w14:textId="33DF8073" w:rsidR="00D33ED1" w:rsidRDefault="00D33ED1" w:rsidP="00BF6959">
            <w:pPr>
              <w:rPr>
                <w:lang w:val="en-GB"/>
              </w:rPr>
            </w:pPr>
            <w:r>
              <w:rPr>
                <w:lang w:val="en-GB"/>
              </w:rPr>
              <w:t>Text and glyphs are converted into plain shapes.</w:t>
            </w:r>
          </w:p>
        </w:tc>
      </w:tr>
      <w:tr w:rsidR="00D33ED1" w:rsidRPr="00CB14AC" w14:paraId="3EF93850" w14:textId="77777777" w:rsidTr="00CB14AC">
        <w:tc>
          <w:tcPr>
            <w:tcW w:w="2155" w:type="dxa"/>
          </w:tcPr>
          <w:p w14:paraId="438D21F6" w14:textId="468E662F" w:rsidR="00D33ED1" w:rsidRDefault="00D33ED1" w:rsidP="00BF6959">
            <w:pPr>
              <w:rPr>
                <w:noProof/>
                <w:lang w:val="en-GB"/>
              </w:rPr>
            </w:pPr>
            <w:r>
              <w:rPr>
                <w:noProof/>
                <w:lang w:val="en-GB"/>
              </w:rPr>
              <w:drawing>
                <wp:inline distT="0" distB="0" distL="0" distR="0" wp14:anchorId="5FF2E640" wp14:editId="3306CC1F">
                  <wp:extent cx="445273" cy="445273"/>
                  <wp:effectExtent l="0" t="0" r="0" b="0"/>
                  <wp:docPr id="2089464277" name="Graphic 2" descr="Thumbs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4277" name="Graphic 2089464277" descr="Thumbs Down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456130" cy="456130"/>
                          </a:xfrm>
                          <a:prstGeom prst="rect">
                            <a:avLst/>
                          </a:prstGeom>
                        </pic:spPr>
                      </pic:pic>
                    </a:graphicData>
                  </a:graphic>
                </wp:inline>
              </w:drawing>
            </w:r>
          </w:p>
        </w:tc>
        <w:tc>
          <w:tcPr>
            <w:tcW w:w="2528" w:type="dxa"/>
          </w:tcPr>
          <w:p w14:paraId="185CACCB" w14:textId="1DEAB384" w:rsidR="00D33ED1" w:rsidRDefault="00D33ED1" w:rsidP="00BF6959">
            <w:pPr>
              <w:rPr>
                <w:lang w:val="en-GB"/>
              </w:rPr>
            </w:pPr>
            <w:r>
              <w:rPr>
                <w:lang w:val="en-GB"/>
              </w:rPr>
              <w:t>Filter</w:t>
            </w:r>
          </w:p>
        </w:tc>
        <w:tc>
          <w:tcPr>
            <w:tcW w:w="4333" w:type="dxa"/>
          </w:tcPr>
          <w:p w14:paraId="365D93BB" w14:textId="3AD7949C" w:rsidR="00D33ED1" w:rsidRDefault="00D33ED1" w:rsidP="00BF6959">
            <w:pPr>
              <w:rPr>
                <w:lang w:val="en-GB"/>
              </w:rPr>
            </w:pPr>
            <w:r>
              <w:rPr>
                <w:lang w:val="en-GB"/>
              </w:rPr>
              <w:t>Filter are removed without any conversion.</w:t>
            </w:r>
          </w:p>
        </w:tc>
      </w:tr>
      <w:tr w:rsidR="00D33ED1" w:rsidRPr="00CB14AC" w14:paraId="069A9AAD" w14:textId="77777777" w:rsidTr="00CB14AC">
        <w:tc>
          <w:tcPr>
            <w:tcW w:w="2155" w:type="dxa"/>
          </w:tcPr>
          <w:p w14:paraId="1AD10FAE" w14:textId="0AFD3D88" w:rsidR="00D33ED1" w:rsidRDefault="00D33ED1" w:rsidP="00BF6959">
            <w:pPr>
              <w:rPr>
                <w:noProof/>
                <w:lang w:val="en-GB"/>
              </w:rPr>
            </w:pPr>
            <w:r>
              <w:rPr>
                <w:noProof/>
                <w:lang w:val="en-GB"/>
              </w:rPr>
              <w:drawing>
                <wp:inline distT="0" distB="0" distL="0" distR="0" wp14:anchorId="302E3A5D" wp14:editId="7881BED9">
                  <wp:extent cx="445273" cy="445273"/>
                  <wp:effectExtent l="0" t="0" r="0" b="0"/>
                  <wp:docPr id="1481746547" name="Graphic 2" descr="Thumbs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4277" name="Graphic 2089464277" descr="Thumbs Down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456130" cy="456130"/>
                          </a:xfrm>
                          <a:prstGeom prst="rect">
                            <a:avLst/>
                          </a:prstGeom>
                        </pic:spPr>
                      </pic:pic>
                    </a:graphicData>
                  </a:graphic>
                </wp:inline>
              </w:drawing>
            </w:r>
          </w:p>
        </w:tc>
        <w:tc>
          <w:tcPr>
            <w:tcW w:w="2528" w:type="dxa"/>
          </w:tcPr>
          <w:p w14:paraId="61533C02" w14:textId="0006DD1E" w:rsidR="00D33ED1" w:rsidRDefault="00D33ED1" w:rsidP="00BF6959">
            <w:pPr>
              <w:rPr>
                <w:lang w:val="en-GB"/>
              </w:rPr>
            </w:pPr>
            <w:r>
              <w:rPr>
                <w:lang w:val="en-GB"/>
              </w:rPr>
              <w:t>Masks</w:t>
            </w:r>
          </w:p>
        </w:tc>
        <w:tc>
          <w:tcPr>
            <w:tcW w:w="4333" w:type="dxa"/>
          </w:tcPr>
          <w:p w14:paraId="51320299" w14:textId="7B6CEC01" w:rsidR="00D33ED1" w:rsidRDefault="00D33ED1" w:rsidP="00BF6959">
            <w:pPr>
              <w:rPr>
                <w:lang w:val="en-GB"/>
              </w:rPr>
            </w:pPr>
            <w:r>
              <w:rPr>
                <w:lang w:val="en-GB"/>
              </w:rPr>
              <w:t>Masks are removed without any conversion.</w:t>
            </w:r>
          </w:p>
        </w:tc>
      </w:tr>
    </w:tbl>
    <w:p w14:paraId="2A8A3036" w14:textId="77777777" w:rsidR="0098641C" w:rsidRDefault="0098641C" w:rsidP="00BF6959">
      <w:pPr>
        <w:rPr>
          <w:lang w:val="en-GB"/>
        </w:rPr>
      </w:pPr>
    </w:p>
    <w:p w14:paraId="3F354D09" w14:textId="6B4D2BBF" w:rsidR="00D1769E" w:rsidRDefault="00D1769E" w:rsidP="00BF6959">
      <w:pPr>
        <w:rPr>
          <w:lang w:val="en-GB"/>
        </w:rPr>
      </w:pPr>
      <w:r>
        <w:rPr>
          <w:lang w:val="en-GB"/>
        </w:rPr>
        <w:t>The transformation process will resolve all transformations and remove all groups from the output. The resulting flat list of geometry shapes will then be grouped based on same presentation attributes to reduce file size.</w:t>
      </w:r>
    </w:p>
    <w:p w14:paraId="7A66A9DB" w14:textId="652CDE29" w:rsidR="00D1769E" w:rsidRDefault="00D1769E" w:rsidP="00BF6959">
      <w:pPr>
        <w:rPr>
          <w:lang w:val="en-GB"/>
        </w:rPr>
      </w:pPr>
      <w:r>
        <w:rPr>
          <w:lang w:val="en-GB"/>
        </w:rPr>
        <w:t>As many transformations applied by GT7OE are destructive, it is highly recommended to safe a file always as plain Inkscape SVG before saving as .gt7 file so that you keep a backup of your work. Output files receive a .gt7 extension to avoid the risk of accidentally overwriting the original SVG file</w:t>
      </w:r>
      <w:r w:rsidR="00EC1C14">
        <w:rPr>
          <w:lang w:val="en-GB"/>
        </w:rPr>
        <w:t>, although they are fully SVG 1.1 compliant and can be loaded into Inkscape without issues (you just need to associate the .gt7 file extension).</w:t>
      </w:r>
    </w:p>
    <w:p w14:paraId="728647E0" w14:textId="35D9F9CC" w:rsidR="00D1769E" w:rsidRDefault="00D1769E" w:rsidP="00D1769E">
      <w:pPr>
        <w:pStyle w:val="Heading2"/>
        <w:rPr>
          <w:lang w:val="en-GB"/>
        </w:rPr>
      </w:pPr>
      <w:r>
        <w:rPr>
          <w:lang w:val="en-GB"/>
        </w:rPr>
        <w:t>Working With GT7OE -An Example</w:t>
      </w:r>
    </w:p>
    <w:p w14:paraId="2FE45641" w14:textId="1A7D027B" w:rsidR="00EC1C14" w:rsidRDefault="00D1769E" w:rsidP="00BF6959">
      <w:pPr>
        <w:rPr>
          <w:lang w:val="en-GB"/>
        </w:rPr>
      </w:pPr>
      <w:r>
        <w:rPr>
          <w:lang w:val="en-GB"/>
        </w:rPr>
        <w:t xml:space="preserve">A </w:t>
      </w:r>
      <w:r w:rsidR="00694A45">
        <w:rPr>
          <w:lang w:val="en-GB"/>
        </w:rPr>
        <w:t>good</w:t>
      </w:r>
      <w:r>
        <w:rPr>
          <w:lang w:val="en-GB"/>
        </w:rPr>
        <w:t xml:space="preserve"> example how to work with GT7OE is adopting the flag of Brazil from Wikipedia: </w:t>
      </w:r>
    </w:p>
    <w:p w14:paraId="663D4E2F" w14:textId="169DA4D2" w:rsidR="00D1769E" w:rsidRDefault="00EC1C14" w:rsidP="00BF6959">
      <w:pPr>
        <w:rPr>
          <w:lang w:val="en-GB"/>
        </w:rPr>
      </w:pPr>
      <w:r>
        <w:rPr>
          <w:lang w:val="en-GB"/>
        </w:rPr>
        <w:t xml:space="preserve">&lt;can this be </w:t>
      </w:r>
      <w:proofErr w:type="spellStart"/>
      <w:r>
        <w:rPr>
          <w:lang w:val="en-GB"/>
        </w:rPr>
        <w:t>inlined</w:t>
      </w:r>
      <w:proofErr w:type="spellEnd"/>
      <w:r>
        <w:rPr>
          <w:lang w:val="en-GB"/>
        </w:rPr>
        <w:t xml:space="preserve"> as image&gt;</w:t>
      </w:r>
      <w:r w:rsidR="00D1769E">
        <w:rPr>
          <w:lang w:val="en-GB"/>
        </w:rPr>
        <w:br/>
      </w:r>
      <w:hyperlink r:id="rId13" w:history="1">
        <w:r w:rsidR="00D1769E" w:rsidRPr="00F43429">
          <w:rPr>
            <w:rStyle w:val="Hyperlink"/>
            <w:lang w:val="en-GB"/>
          </w:rPr>
          <w:t>https://upload.wikimedia.org/wikipedia/commons/0/05/Flag_of_Brazil.svg?utm_source=de.wi</w:t>
        </w:r>
        <w:r w:rsidR="00D1769E" w:rsidRPr="00F43429">
          <w:rPr>
            <w:rStyle w:val="Hyperlink"/>
            <w:lang w:val="en-GB"/>
          </w:rPr>
          <w:lastRenderedPageBreak/>
          <w:t>kipedia.org&amp;utm_campaign=index&amp;utm_content=original</w:t>
        </w:r>
      </w:hyperlink>
      <w:r w:rsidR="00D1769E">
        <w:rPr>
          <w:lang w:val="en-GB"/>
        </w:rPr>
        <w:br/>
      </w:r>
      <w:r w:rsidR="00D1769E">
        <w:rPr>
          <w:lang w:val="en-GB"/>
        </w:rPr>
        <w:br/>
        <w:t>This file is highly optimized</w:t>
      </w:r>
      <w:r>
        <w:rPr>
          <w:lang w:val="en-GB"/>
        </w:rPr>
        <w:t xml:space="preserve"> and compressed to 5 KB file size</w:t>
      </w:r>
      <w:r w:rsidR="00D1769E">
        <w:rPr>
          <w:lang w:val="en-GB"/>
        </w:rPr>
        <w:t xml:space="preserve"> but</w:t>
      </w:r>
      <w:r>
        <w:rPr>
          <w:lang w:val="en-GB"/>
        </w:rPr>
        <w:t xml:space="preserve"> relies on</w:t>
      </w:r>
      <w:r w:rsidR="00D1769E">
        <w:rPr>
          <w:lang w:val="en-GB"/>
        </w:rPr>
        <w:t xml:space="preserve"> two SVG features not supported by GT7 – reusing geometry via &lt;uses&gt; and </w:t>
      </w:r>
      <w:proofErr w:type="spellStart"/>
      <w:r w:rsidR="00D1769E">
        <w:rPr>
          <w:lang w:val="en-GB"/>
        </w:rPr>
        <w:t>clippaths</w:t>
      </w:r>
      <w:proofErr w:type="spellEnd"/>
      <w:r w:rsidR="00D1769E">
        <w:rPr>
          <w:lang w:val="en-GB"/>
        </w:rPr>
        <w:t>.</w:t>
      </w:r>
    </w:p>
    <w:p w14:paraId="3DBFB9C0" w14:textId="2602DA5D" w:rsidR="00EC1C14" w:rsidRDefault="00EC1C14" w:rsidP="00BF6959">
      <w:pPr>
        <w:rPr>
          <w:lang w:val="en-GB"/>
        </w:rPr>
      </w:pPr>
      <w:r>
        <w:rPr>
          <w:lang w:val="en-GB"/>
        </w:rPr>
        <w:t xml:space="preserve">When you safe this file as .gt7 file you will get a file size of 31 KB (without compression) and 25 KB (with compression). During the conversion process your screen may flicker twice, as for technical reasons clipping required to launch an Inkscape process and the file contains two </w:t>
      </w:r>
      <w:proofErr w:type="spellStart"/>
      <w:r>
        <w:rPr>
          <w:lang w:val="en-GB"/>
        </w:rPr>
        <w:t>clippaths</w:t>
      </w:r>
      <w:proofErr w:type="spellEnd"/>
      <w:r>
        <w:rPr>
          <w:lang w:val="en-GB"/>
        </w:rPr>
        <w:t>.</w:t>
      </w:r>
    </w:p>
    <w:p w14:paraId="16F7419B" w14:textId="2B1D67F7" w:rsidR="00B52E74" w:rsidRDefault="00EC1C14" w:rsidP="00BF6959">
      <w:pPr>
        <w:rPr>
          <w:lang w:val="en-GB"/>
        </w:rPr>
      </w:pPr>
      <w:r>
        <w:rPr>
          <w:lang w:val="en-GB"/>
        </w:rPr>
        <w:t>As 25 KB is far beyond the 15 KB threshold of GT7, manual corrections are required.</w:t>
      </w:r>
      <w:r w:rsidR="00694A45">
        <w:rPr>
          <w:lang w:val="en-GB"/>
        </w:rPr>
        <w:t xml:space="preserve"> </w:t>
      </w:r>
      <w:r w:rsidR="00B52E74">
        <w:rPr>
          <w:lang w:val="en-GB"/>
        </w:rPr>
        <w:t>This file is very complex, and while some of the following steps are tedious, it is unusual to have so much manual work.</w:t>
      </w:r>
    </w:p>
    <w:p w14:paraId="7280ED56" w14:textId="176E4CAA" w:rsidR="00B52E74" w:rsidRDefault="00B52E74" w:rsidP="00BF6959">
      <w:pPr>
        <w:rPr>
          <w:lang w:val="en-GB"/>
        </w:rPr>
      </w:pPr>
      <w:r>
        <w:rPr>
          <w:lang w:val="en-GB"/>
        </w:rPr>
        <w:t>To simplify geometry and reduce node count we can union similar geometry into single path. Let’s start with the green letter. As you can see they are only partially grouped, which indicates that in detail they have different presentation attributes (like stroke-width) although they look same. Go through the shapes step by step, select a subset, and execute the following steps:</w:t>
      </w:r>
    </w:p>
    <w:p w14:paraId="490225BD" w14:textId="60D141CD" w:rsidR="00B52E74" w:rsidRDefault="00B52E74" w:rsidP="00B52E74">
      <w:pPr>
        <w:pStyle w:val="ListParagraph"/>
        <w:numPr>
          <w:ilvl w:val="0"/>
          <w:numId w:val="6"/>
        </w:numPr>
        <w:rPr>
          <w:lang w:val="en-GB"/>
        </w:rPr>
      </w:pPr>
      <w:r>
        <w:rPr>
          <w:lang w:val="en-GB"/>
        </w:rPr>
        <w:t xml:space="preserve">Path </w:t>
      </w:r>
      <w:r w:rsidRPr="00B52E74">
        <w:rPr>
          <w:lang w:val="en-GB"/>
        </w:rPr>
        <w:sym w:font="Wingdings" w:char="F0E0"/>
      </w:r>
      <w:r>
        <w:rPr>
          <w:lang w:val="en-GB"/>
        </w:rPr>
        <w:t xml:space="preserve"> Stroke to Path to ensure that everything is a closed path (in contrast to open strokes)</w:t>
      </w:r>
    </w:p>
    <w:p w14:paraId="742F2738" w14:textId="4BC51E84" w:rsidR="00B52E74" w:rsidRPr="00B52E74" w:rsidRDefault="00B52E74" w:rsidP="00B52E74">
      <w:pPr>
        <w:pStyle w:val="ListParagraph"/>
        <w:numPr>
          <w:ilvl w:val="0"/>
          <w:numId w:val="6"/>
        </w:numPr>
        <w:rPr>
          <w:lang w:val="en-GB"/>
        </w:rPr>
      </w:pPr>
      <w:r>
        <w:rPr>
          <w:lang w:val="en-GB"/>
        </w:rPr>
        <w:t xml:space="preserve">Select Path </w:t>
      </w:r>
      <w:r w:rsidRPr="00B52E74">
        <w:rPr>
          <w:lang w:val="en-GB"/>
        </w:rPr>
        <w:sym w:font="Wingdings" w:char="F0E0"/>
      </w:r>
      <w:r>
        <w:rPr>
          <w:lang w:val="en-GB"/>
        </w:rPr>
        <w:t xml:space="preserve"> Union. If filling is lost, use the </w:t>
      </w:r>
      <w:proofErr w:type="spellStart"/>
      <w:r>
        <w:rPr>
          <w:lang w:val="en-GB"/>
        </w:rPr>
        <w:t>color</w:t>
      </w:r>
      <w:proofErr w:type="spellEnd"/>
      <w:r>
        <w:rPr>
          <w:lang w:val="en-GB"/>
        </w:rPr>
        <w:t xml:space="preserve"> picker to set the correct green fill </w:t>
      </w:r>
      <w:proofErr w:type="spellStart"/>
      <w:r>
        <w:rPr>
          <w:lang w:val="en-GB"/>
        </w:rPr>
        <w:t>color</w:t>
      </w:r>
      <w:proofErr w:type="spellEnd"/>
      <w:r>
        <w:rPr>
          <w:lang w:val="en-GB"/>
        </w:rPr>
        <w:t>. Select the node editing tool to see that everything is correctly merged.</w:t>
      </w:r>
    </w:p>
    <w:p w14:paraId="4B76B77A" w14:textId="0989E427" w:rsidR="00B52E74" w:rsidRDefault="00B52E74" w:rsidP="00BF6959">
      <w:pPr>
        <w:rPr>
          <w:lang w:val="en-GB"/>
        </w:rPr>
      </w:pPr>
      <w:r>
        <w:rPr>
          <w:noProof/>
        </w:rPr>
        <w:drawing>
          <wp:inline distT="0" distB="0" distL="0" distR="0" wp14:anchorId="0A02524F" wp14:editId="161C65A3">
            <wp:extent cx="4695825" cy="2876550"/>
            <wp:effectExtent l="0" t="0" r="9525" b="0"/>
            <wp:docPr id="4028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42716" name=""/>
                    <pic:cNvPicPr/>
                  </pic:nvPicPr>
                  <pic:blipFill>
                    <a:blip r:embed="rId14"/>
                    <a:stretch>
                      <a:fillRect/>
                    </a:stretch>
                  </pic:blipFill>
                  <pic:spPr>
                    <a:xfrm>
                      <a:off x="0" y="0"/>
                      <a:ext cx="4695825" cy="2876550"/>
                    </a:xfrm>
                    <a:prstGeom prst="rect">
                      <a:avLst/>
                    </a:prstGeom>
                  </pic:spPr>
                </pic:pic>
              </a:graphicData>
            </a:graphic>
          </wp:inline>
        </w:drawing>
      </w:r>
    </w:p>
    <w:p w14:paraId="7424F541" w14:textId="77777777" w:rsidR="003E49BC" w:rsidRDefault="00B52E74" w:rsidP="00BF6959">
      <w:pPr>
        <w:rPr>
          <w:noProof/>
          <w:lang w:val="en-GB"/>
        </w:rPr>
      </w:pPr>
      <w:r>
        <w:rPr>
          <w:lang w:val="en-GB"/>
        </w:rPr>
        <w:t>Do the same for the stars</w:t>
      </w:r>
      <w:r w:rsidR="00694A45">
        <w:rPr>
          <w:lang w:val="en-GB"/>
        </w:rPr>
        <w:t>.</w:t>
      </w:r>
      <w:r w:rsidR="00694A45" w:rsidRPr="00694A45">
        <w:rPr>
          <w:noProof/>
          <w:lang w:val="en-GB"/>
        </w:rPr>
        <w:t xml:space="preserve"> </w:t>
      </w:r>
      <w:r w:rsidR="00694A45">
        <w:rPr>
          <w:noProof/>
          <w:lang w:val="en-GB"/>
        </w:rPr>
        <w:t xml:space="preserve">When you select the a star, you will see that due to the expansion </w:t>
      </w:r>
      <w:r>
        <w:rPr>
          <w:noProof/>
          <w:lang w:val="en-GB"/>
        </w:rPr>
        <w:t>o</w:t>
      </w:r>
      <w:r w:rsidR="00694A45">
        <w:rPr>
          <w:noProof/>
          <w:lang w:val="en-GB"/>
        </w:rPr>
        <w:t>f the &lt;use&gt; tags ea</w:t>
      </w:r>
      <w:r>
        <w:rPr>
          <w:noProof/>
          <w:lang w:val="en-GB"/>
        </w:rPr>
        <w:t>c</w:t>
      </w:r>
      <w:r w:rsidR="00694A45">
        <w:rPr>
          <w:noProof/>
          <w:lang w:val="en-GB"/>
        </w:rPr>
        <w:t>h star is composed of multiple non-closed triangles. You need to select each of these strokes, select the two end points and join them with a new path segment to close the path. When you are finished, select all parts of the st</w:t>
      </w:r>
      <w:r>
        <w:rPr>
          <w:noProof/>
          <w:lang w:val="en-GB"/>
        </w:rPr>
        <w:t>a</w:t>
      </w:r>
      <w:r w:rsidR="00694A45">
        <w:rPr>
          <w:noProof/>
          <w:lang w:val="en-GB"/>
        </w:rPr>
        <w:t>r</w:t>
      </w:r>
      <w:r>
        <w:rPr>
          <w:noProof/>
          <w:lang w:val="en-GB"/>
        </w:rPr>
        <w:t xml:space="preserve"> </w:t>
      </w:r>
      <w:r w:rsidR="00694A45">
        <w:rPr>
          <w:noProof/>
          <w:lang w:val="en-GB"/>
        </w:rPr>
        <w:t xml:space="preserve">and join them into a single shape (“Path” </w:t>
      </w:r>
      <w:r w:rsidR="00694A45" w:rsidRPr="00694A45">
        <w:rPr>
          <w:noProof/>
          <w:lang w:val="en-GB"/>
        </w:rPr>
        <w:sym w:font="Wingdings" w:char="F0E0"/>
      </w:r>
      <w:r w:rsidR="00694A45">
        <w:rPr>
          <w:noProof/>
          <w:lang w:val="en-GB"/>
        </w:rPr>
        <w:t xml:space="preserve"> “Union”). </w:t>
      </w:r>
      <w:r w:rsidR="003E49BC">
        <w:rPr>
          <w:noProof/>
          <w:lang w:val="en-GB"/>
        </w:rPr>
        <w:t>The fastest way to do this in Inkscape is:</w:t>
      </w:r>
    </w:p>
    <w:p w14:paraId="328D6975" w14:textId="76136DA4" w:rsidR="003E49BC" w:rsidRPr="003E49BC" w:rsidRDefault="003E49BC" w:rsidP="003E49BC">
      <w:pPr>
        <w:pStyle w:val="ListParagraph"/>
        <w:numPr>
          <w:ilvl w:val="0"/>
          <w:numId w:val="7"/>
        </w:numPr>
        <w:rPr>
          <w:noProof/>
          <w:lang w:val="en-GB"/>
        </w:rPr>
      </w:pPr>
      <w:r w:rsidRPr="003E49BC">
        <w:rPr>
          <w:noProof/>
          <w:lang w:val="en-GB"/>
        </w:rPr>
        <w:t>Activate the node editing tool</w:t>
      </w:r>
    </w:p>
    <w:p w14:paraId="22DAC82F" w14:textId="7AB6A111" w:rsidR="003E49BC" w:rsidRDefault="003E49BC" w:rsidP="003E49BC">
      <w:pPr>
        <w:pStyle w:val="ListParagraph"/>
        <w:numPr>
          <w:ilvl w:val="0"/>
          <w:numId w:val="7"/>
        </w:numPr>
        <w:rPr>
          <w:noProof/>
          <w:lang w:val="en-GB"/>
        </w:rPr>
      </w:pPr>
      <w:r>
        <w:rPr>
          <w:noProof/>
          <w:lang w:val="en-GB"/>
        </w:rPr>
        <w:t>K</w:t>
      </w:r>
      <w:r w:rsidRPr="003E49BC">
        <w:rPr>
          <w:noProof/>
          <w:lang w:val="en-GB"/>
        </w:rPr>
        <w:t>eep the SHIFT key pressed</w:t>
      </w:r>
      <w:r>
        <w:rPr>
          <w:noProof/>
          <w:lang w:val="en-GB"/>
        </w:rPr>
        <w:t xml:space="preserve"> all the time</w:t>
      </w:r>
    </w:p>
    <w:p w14:paraId="344D03CA" w14:textId="58C0C357" w:rsidR="003E49BC" w:rsidRDefault="003E49BC" w:rsidP="003E49BC">
      <w:pPr>
        <w:pStyle w:val="ListParagraph"/>
        <w:numPr>
          <w:ilvl w:val="0"/>
          <w:numId w:val="7"/>
        </w:numPr>
        <w:rPr>
          <w:noProof/>
          <w:lang w:val="en-GB"/>
        </w:rPr>
      </w:pPr>
      <w:r>
        <w:rPr>
          <w:noProof/>
          <w:lang w:val="en-GB"/>
        </w:rPr>
        <w:t>S</w:t>
      </w:r>
      <w:r w:rsidRPr="003E49BC">
        <w:rPr>
          <w:noProof/>
          <w:lang w:val="en-GB"/>
        </w:rPr>
        <w:t xml:space="preserve">elect the first star </w:t>
      </w:r>
      <w:r>
        <w:rPr>
          <w:noProof/>
          <w:lang w:val="en-GB"/>
        </w:rPr>
        <w:t>shape</w:t>
      </w:r>
      <w:r w:rsidRPr="003E49BC">
        <w:rPr>
          <w:noProof/>
          <w:lang w:val="en-GB"/>
        </w:rPr>
        <w:t xml:space="preserve"> (click on background)</w:t>
      </w:r>
    </w:p>
    <w:p w14:paraId="49BEC39E" w14:textId="753D6E29" w:rsidR="003E49BC" w:rsidRDefault="003E49BC" w:rsidP="003E49BC">
      <w:pPr>
        <w:pStyle w:val="ListParagraph"/>
        <w:numPr>
          <w:ilvl w:val="0"/>
          <w:numId w:val="7"/>
        </w:numPr>
        <w:rPr>
          <w:noProof/>
          <w:lang w:val="en-GB"/>
        </w:rPr>
      </w:pPr>
      <w:r>
        <w:rPr>
          <w:noProof/>
          <w:lang w:val="en-GB"/>
        </w:rPr>
        <w:t>D</w:t>
      </w:r>
      <w:r w:rsidRPr="003E49BC">
        <w:rPr>
          <w:noProof/>
          <w:lang w:val="en-GB"/>
        </w:rPr>
        <w:t>raw a rectangle to select all nodes</w:t>
      </w:r>
    </w:p>
    <w:p w14:paraId="3DB5D0B7" w14:textId="0C1B8BD7" w:rsidR="003E49BC" w:rsidRDefault="003E49BC" w:rsidP="003E49BC">
      <w:pPr>
        <w:pStyle w:val="ListParagraph"/>
        <w:numPr>
          <w:ilvl w:val="0"/>
          <w:numId w:val="7"/>
        </w:numPr>
        <w:rPr>
          <w:noProof/>
          <w:lang w:val="en-GB"/>
        </w:rPr>
      </w:pPr>
      <w:r>
        <w:rPr>
          <w:noProof/>
          <w:lang w:val="en-GB"/>
        </w:rPr>
        <w:lastRenderedPageBreak/>
        <w:t>Select “join end nodes with new segment”</w:t>
      </w:r>
    </w:p>
    <w:p w14:paraId="1D5864FA" w14:textId="77777777" w:rsidR="003E49BC" w:rsidRDefault="003E49BC" w:rsidP="003E49BC">
      <w:pPr>
        <w:pStyle w:val="ListParagraph"/>
        <w:numPr>
          <w:ilvl w:val="0"/>
          <w:numId w:val="7"/>
        </w:numPr>
        <w:rPr>
          <w:noProof/>
          <w:lang w:val="en-GB"/>
        </w:rPr>
      </w:pPr>
      <w:r>
        <w:rPr>
          <w:noProof/>
          <w:lang w:val="en-GB"/>
        </w:rPr>
        <w:t>Continue step 3 with the next shape</w:t>
      </w:r>
    </w:p>
    <w:p w14:paraId="1E8A6BAB" w14:textId="55333EAE" w:rsidR="003E49BC" w:rsidRPr="003E49BC" w:rsidRDefault="003E49BC" w:rsidP="00BF6959">
      <w:pPr>
        <w:pStyle w:val="ListParagraph"/>
        <w:numPr>
          <w:ilvl w:val="0"/>
          <w:numId w:val="7"/>
        </w:numPr>
        <w:rPr>
          <w:noProof/>
          <w:lang w:val="en-GB"/>
        </w:rPr>
      </w:pPr>
      <w:r>
        <w:rPr>
          <w:noProof/>
          <w:lang w:val="en-GB"/>
        </w:rPr>
        <w:t xml:space="preserve">Repeat until all paths are closed – the select “Path” </w:t>
      </w:r>
      <w:r w:rsidRPr="003E49BC">
        <w:rPr>
          <w:noProof/>
          <w:lang w:val="en-GB"/>
        </w:rPr>
        <w:sym w:font="Wingdings" w:char="F0E0"/>
      </w:r>
      <w:r>
        <w:rPr>
          <w:noProof/>
          <w:lang w:val="en-GB"/>
        </w:rPr>
        <w:t xml:space="preserve"> “Union”</w:t>
      </w:r>
      <w:r>
        <w:rPr>
          <w:noProof/>
          <w:lang w:val="en-GB"/>
        </w:rPr>
        <w:br/>
      </w:r>
    </w:p>
    <w:p w14:paraId="1E2F8917" w14:textId="77777777" w:rsidR="003E49BC" w:rsidRDefault="003E49BC" w:rsidP="00BF6959">
      <w:pPr>
        <w:rPr>
          <w:noProof/>
          <w:lang w:val="en-GB"/>
        </w:rPr>
      </w:pPr>
      <w:r w:rsidRPr="003E49BC">
        <w:rPr>
          <w:noProof/>
          <w:lang w:val="en-GB"/>
        </w:rPr>
        <w:t xml:space="preserve">When you safe the file after these changes as .gt7 file </w:t>
      </w:r>
      <w:r>
        <w:rPr>
          <w:noProof/>
          <w:lang w:val="en-GB"/>
        </w:rPr>
        <w:t xml:space="preserve">(enable compression) </w:t>
      </w:r>
      <w:r w:rsidRPr="003E49BC">
        <w:rPr>
          <w:noProof/>
          <w:lang w:val="en-GB"/>
        </w:rPr>
        <w:t xml:space="preserve">you will see a dramatic size reduction already. </w:t>
      </w:r>
      <w:r>
        <w:rPr>
          <w:noProof/>
          <w:lang w:val="en-GB"/>
        </w:rPr>
        <w:t>Dropping the file into an online SVG compression utility has reduced the size back to 7KB.</w:t>
      </w:r>
      <w:r w:rsidRPr="003E49BC">
        <w:rPr>
          <w:noProof/>
          <w:lang w:val="en-GB"/>
        </w:rPr>
        <w:t xml:space="preserve"> </w:t>
      </w:r>
    </w:p>
    <w:p w14:paraId="5E48FDE3" w14:textId="20AAEFEE" w:rsidR="00EC1C14" w:rsidRDefault="003E49BC" w:rsidP="00BF6959">
      <w:pPr>
        <w:rPr>
          <w:lang w:val="en-GB"/>
        </w:rPr>
      </w:pPr>
      <w:r w:rsidRPr="003E49BC">
        <w:rPr>
          <w:noProof/>
          <w:lang w:val="en-GB"/>
        </w:rPr>
        <w:drawing>
          <wp:inline distT="0" distB="0" distL="0" distR="0" wp14:anchorId="3C640F0E" wp14:editId="69B73784">
            <wp:extent cx="5731510" cy="4011930"/>
            <wp:effectExtent l="0" t="0" r="2540" b="7620"/>
            <wp:docPr id="16792505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055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4011930"/>
                    </a:xfrm>
                    <a:prstGeom prst="rect">
                      <a:avLst/>
                    </a:prstGeom>
                  </pic:spPr>
                </pic:pic>
              </a:graphicData>
            </a:graphic>
          </wp:inline>
        </w:drawing>
      </w:r>
    </w:p>
    <w:p w14:paraId="6ACE878C" w14:textId="77777777" w:rsidR="003E49BC" w:rsidRDefault="003E49BC" w:rsidP="00BF6959">
      <w:pPr>
        <w:rPr>
          <w:lang w:val="en-GB"/>
        </w:rPr>
      </w:pPr>
    </w:p>
    <w:p w14:paraId="0CFB8DEA" w14:textId="609A2F83" w:rsidR="003E49BC" w:rsidRPr="003E49BC" w:rsidRDefault="003E49BC" w:rsidP="00BF6959">
      <w:pPr>
        <w:rPr>
          <w:lang w:val="en-GB"/>
        </w:rPr>
      </w:pPr>
      <w:r>
        <w:rPr>
          <w:lang w:val="en-GB"/>
        </w:rPr>
        <w:t xml:space="preserve">Aggressive compression tools may change the geometry (they usually simplify paths to safe even more file space). The next step would be to upload the new decal into </w:t>
      </w:r>
      <w:r w:rsidR="00A91362">
        <w:rPr>
          <w:lang w:val="en-GB"/>
        </w:rPr>
        <w:t>Gran Turismo and test it on your car!</w:t>
      </w:r>
    </w:p>
    <w:sectPr w:rsidR="003E49BC" w:rsidRPr="003E49BC" w:rsidSect="007F4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96A"/>
    <w:multiLevelType w:val="hybridMultilevel"/>
    <w:tmpl w:val="5E08E8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CD7C87"/>
    <w:multiLevelType w:val="hybridMultilevel"/>
    <w:tmpl w:val="9D9A9C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B9C000E"/>
    <w:multiLevelType w:val="hybridMultilevel"/>
    <w:tmpl w:val="C17C2B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48B5397"/>
    <w:multiLevelType w:val="hybridMultilevel"/>
    <w:tmpl w:val="158862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5206DF6"/>
    <w:multiLevelType w:val="hybridMultilevel"/>
    <w:tmpl w:val="A790CD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D4901D0"/>
    <w:multiLevelType w:val="hybridMultilevel"/>
    <w:tmpl w:val="95345F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FAF38AF"/>
    <w:multiLevelType w:val="hybridMultilevel"/>
    <w:tmpl w:val="C206EA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38434244">
    <w:abstractNumId w:val="5"/>
  </w:num>
  <w:num w:numId="2" w16cid:durableId="320156435">
    <w:abstractNumId w:val="3"/>
  </w:num>
  <w:num w:numId="3" w16cid:durableId="1942494062">
    <w:abstractNumId w:val="0"/>
  </w:num>
  <w:num w:numId="4" w16cid:durableId="782115049">
    <w:abstractNumId w:val="4"/>
  </w:num>
  <w:num w:numId="5" w16cid:durableId="673336510">
    <w:abstractNumId w:val="6"/>
  </w:num>
  <w:num w:numId="6" w16cid:durableId="201359350">
    <w:abstractNumId w:val="2"/>
  </w:num>
  <w:num w:numId="7" w16cid:durableId="105187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959"/>
    <w:rsid w:val="000F65CA"/>
    <w:rsid w:val="00221D80"/>
    <w:rsid w:val="003E49BC"/>
    <w:rsid w:val="004A3A36"/>
    <w:rsid w:val="00694A45"/>
    <w:rsid w:val="007F4794"/>
    <w:rsid w:val="009400A7"/>
    <w:rsid w:val="0098641C"/>
    <w:rsid w:val="00A91362"/>
    <w:rsid w:val="00A92F30"/>
    <w:rsid w:val="00B52E74"/>
    <w:rsid w:val="00BF6959"/>
    <w:rsid w:val="00CB14AC"/>
    <w:rsid w:val="00CD15A4"/>
    <w:rsid w:val="00CE501A"/>
    <w:rsid w:val="00D1769E"/>
    <w:rsid w:val="00D33ED1"/>
    <w:rsid w:val="00E04F06"/>
    <w:rsid w:val="00EC1C14"/>
    <w:rsid w:val="00ED400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751A"/>
  <w15:chartTrackingRefBased/>
  <w15:docId w15:val="{22934E2F-A40E-4CF7-BF25-0A41D228F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959"/>
    <w:rPr>
      <w:rFonts w:eastAsiaTheme="majorEastAsia" w:cstheme="majorBidi"/>
      <w:color w:val="272727" w:themeColor="text1" w:themeTint="D8"/>
    </w:rPr>
  </w:style>
  <w:style w:type="paragraph" w:styleId="Title">
    <w:name w:val="Title"/>
    <w:basedOn w:val="Normal"/>
    <w:next w:val="Normal"/>
    <w:link w:val="TitleChar"/>
    <w:uiPriority w:val="10"/>
    <w:qFormat/>
    <w:rsid w:val="00BF6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959"/>
    <w:pPr>
      <w:spacing w:before="160"/>
      <w:jc w:val="center"/>
    </w:pPr>
    <w:rPr>
      <w:i/>
      <w:iCs/>
      <w:color w:val="404040" w:themeColor="text1" w:themeTint="BF"/>
    </w:rPr>
  </w:style>
  <w:style w:type="character" w:customStyle="1" w:styleId="QuoteChar">
    <w:name w:val="Quote Char"/>
    <w:basedOn w:val="DefaultParagraphFont"/>
    <w:link w:val="Quote"/>
    <w:uiPriority w:val="29"/>
    <w:rsid w:val="00BF6959"/>
    <w:rPr>
      <w:i/>
      <w:iCs/>
      <w:color w:val="404040" w:themeColor="text1" w:themeTint="BF"/>
    </w:rPr>
  </w:style>
  <w:style w:type="paragraph" w:styleId="ListParagraph">
    <w:name w:val="List Paragraph"/>
    <w:basedOn w:val="Normal"/>
    <w:uiPriority w:val="34"/>
    <w:qFormat/>
    <w:rsid w:val="00BF6959"/>
    <w:pPr>
      <w:ind w:left="720"/>
      <w:contextualSpacing/>
    </w:pPr>
  </w:style>
  <w:style w:type="character" w:styleId="IntenseEmphasis">
    <w:name w:val="Intense Emphasis"/>
    <w:basedOn w:val="DefaultParagraphFont"/>
    <w:uiPriority w:val="21"/>
    <w:qFormat/>
    <w:rsid w:val="00BF6959"/>
    <w:rPr>
      <w:i/>
      <w:iCs/>
      <w:color w:val="0F4761" w:themeColor="accent1" w:themeShade="BF"/>
    </w:rPr>
  </w:style>
  <w:style w:type="paragraph" w:styleId="IntenseQuote">
    <w:name w:val="Intense Quote"/>
    <w:basedOn w:val="Normal"/>
    <w:next w:val="Normal"/>
    <w:link w:val="IntenseQuoteChar"/>
    <w:uiPriority w:val="30"/>
    <w:qFormat/>
    <w:rsid w:val="00BF6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959"/>
    <w:rPr>
      <w:i/>
      <w:iCs/>
      <w:color w:val="0F4761" w:themeColor="accent1" w:themeShade="BF"/>
    </w:rPr>
  </w:style>
  <w:style w:type="character" w:styleId="IntenseReference">
    <w:name w:val="Intense Reference"/>
    <w:basedOn w:val="DefaultParagraphFont"/>
    <w:uiPriority w:val="32"/>
    <w:qFormat/>
    <w:rsid w:val="00BF6959"/>
    <w:rPr>
      <w:b/>
      <w:bCs/>
      <w:smallCaps/>
      <w:color w:val="0F4761" w:themeColor="accent1" w:themeShade="BF"/>
      <w:spacing w:val="5"/>
    </w:rPr>
  </w:style>
  <w:style w:type="character" w:styleId="Hyperlink">
    <w:name w:val="Hyperlink"/>
    <w:basedOn w:val="DefaultParagraphFont"/>
    <w:uiPriority w:val="99"/>
    <w:unhideWhenUsed/>
    <w:rsid w:val="00A92F30"/>
    <w:rPr>
      <w:color w:val="467886" w:themeColor="hyperlink"/>
      <w:u w:val="single"/>
    </w:rPr>
  </w:style>
  <w:style w:type="character" w:styleId="UnresolvedMention">
    <w:name w:val="Unresolved Mention"/>
    <w:basedOn w:val="DefaultParagraphFont"/>
    <w:uiPriority w:val="99"/>
    <w:semiHidden/>
    <w:unhideWhenUsed/>
    <w:rsid w:val="00A92F30"/>
    <w:rPr>
      <w:color w:val="605E5C"/>
      <w:shd w:val="clear" w:color="auto" w:fill="E1DFDD"/>
    </w:rPr>
  </w:style>
  <w:style w:type="table" w:styleId="TableGrid">
    <w:name w:val="Table Grid"/>
    <w:basedOn w:val="TableNormal"/>
    <w:uiPriority w:val="39"/>
    <w:rsid w:val="00940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hyperlink" Target="https://upload.wikimedia.org/wikipedia/commons/0/05/Flag_of_Brazil.svg?utm_source=de.wikipedia.org&amp;utm_campaign=index&amp;utm_content=origina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sv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ran-turismo.com" TargetMode="External"/><Relationship Id="rId15" Type="http://schemas.openxmlformats.org/officeDocument/2006/relationships/image" Target="media/image9.png"/><Relationship Id="rId10" Type="http://schemas.openxmlformats.org/officeDocument/2006/relationships/image" Target="media/image5.sv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1410</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Dainy Vilayil-Stüwe</dc:creator>
  <cp:keywords/>
  <dc:description/>
  <cp:lastModifiedBy>Dainy Vilayil-Stüwe</cp:lastModifiedBy>
  <cp:revision>3</cp:revision>
  <dcterms:created xsi:type="dcterms:W3CDTF">2026-08-28T08:34:00Z</dcterms:created>
  <dcterms:modified xsi:type="dcterms:W3CDTF">2026-08-28T13:27:00Z</dcterms:modified>
</cp:coreProperties>
</file>