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黑体" w:hAnsi="黑体" w:eastAsia="黑体"/>
          <w:b/>
          <w:sz w:val="36"/>
        </w:rPr>
        <w:t>2026年首届全国大学生统计建模大赛</w:t>
      </w:r>
    </w:p>
    <w:p/>
    <w:p>
      <w:pPr>
        <w:jc w:val="center"/>
      </w:pPr>
      <w:r>
        <w:rPr>
          <w:rFonts w:ascii="黑体" w:hAnsi="黑体" w:eastAsia="黑体"/>
          <w:b/>
          <w:sz w:val="44"/>
        </w:rPr>
        <w:t>参 赛 作 品</w:t>
      </w:r>
    </w:p>
    <w:p/>
    <w:p/>
    <w:p/>
    <w:p/>
    <w:p/>
    <w:p/>
    <w:p>
      <w:pPr>
        <w:jc w:val="center"/>
      </w:pPr>
      <w:r>
        <w:rPr>
          <w:rFonts w:ascii="黑体" w:hAnsi="黑体" w:eastAsia="黑体"/>
          <w:b/>
          <w:sz w:val="32"/>
        </w:rPr>
        <w:t>论文题目：我国绿色发展水平综合评价与时间演化特征研究</w:t>
        <w:br/>
        <w:t>—— 基于熵权TOPSIS-耦合协调模型</w:t>
      </w:r>
    </w:p>
    <w:p/>
    <w:p/>
    <w:p/>
    <w:p/>
    <w:p/>
    <w:p/>
    <w:p/>
    <w:p/>
    <w:p>
      <w:pPr>
        <w:jc w:val="center"/>
      </w:pPr>
      <w:r>
        <w:rPr>
          <w:rFonts w:ascii="仿宋" w:hAnsi="仿宋" w:eastAsia="仿宋"/>
          <w:sz w:val="28"/>
        </w:rPr>
        <w:t>参赛学校：XXXXXX大学</w:t>
      </w:r>
    </w:p>
    <w:p>
      <w:pPr>
        <w:jc w:val="center"/>
      </w:pPr>
      <w:r>
        <w:rPr>
          <w:rFonts w:ascii="仿宋" w:hAnsi="仿宋" w:eastAsia="仿宋"/>
          <w:sz w:val="28"/>
        </w:rPr>
        <w:t>参赛队员：张懂文  XXX  XXX</w:t>
      </w:r>
    </w:p>
    <w:p>
      <w:pPr>
        <w:jc w:val="center"/>
      </w:pPr>
      <w:r>
        <w:rPr>
          <w:rFonts w:ascii="仿宋" w:hAnsi="仿宋" w:eastAsia="仿宋"/>
          <w:sz w:val="28"/>
        </w:rPr>
        <w:t>指导老师：XXX  XXX</w:t>
      </w:r>
    </w:p>
    <w:p>
      <w:r>
        <w:br w:type="page"/>
      </w:r>
    </w:p>
    <w:p>
      <w:pPr>
        <w:jc w:val="left"/>
      </w:pPr>
      <w:r>
        <w:rPr>
          <w:rFonts w:ascii="黑体" w:hAnsi="黑体" w:eastAsia="黑体"/>
          <w:b/>
          <w:sz w:val="30"/>
        </w:rPr>
        <w:t>摘要</w:t>
      </w:r>
    </w:p>
    <w:p>
      <w:pPr>
        <w:spacing w:line="480" w:lineRule="exact"/>
        <w:ind w:firstLine="480"/>
        <w:jc w:val="both"/>
      </w:pPr>
      <w:r>
        <w:rPr>
          <w:rFonts w:ascii="宋体" w:hAnsi="宋体" w:eastAsia="宋体"/>
          <w:sz w:val="24"/>
        </w:rPr>
        <w:t>绿色发展是实现经济高质量发展的重要路径，科学测度区域绿色发展水平具有重要意义。本文基于熵权TOPSIS-耦合协调度模型，对我国31个省份2018-2022年的绿色发展水平进行综合评价。研究构建了涵盖国民经济、能源、科技、资源与环境四大系统的10项指标评价体系，运用极差标准化消除量纲影响，采用熵权法客观赋权，通过TOPSIS方法计算综合得分，并运用耦合协调度模型分析经济子系统与环境子系统的协调发展状况。研究结果表明：我国绿色发展水平整体呈上升趋势，综合得分均值由2018年的0.5730上升至2022年的0.5771；各省份绿色发展水平差异显著，新疆、宁夏、青海等西部地区绿色发展综合得分位居前列；经济与环境子系统耦合协调度持续改善，从2018年的0.7379提升至2022年的0.7617，主要处于"中度协调"至"优质协调"水平。本研究为我国绿色发展政策制定提供了量化依据。</w:t>
      </w:r>
    </w:p>
    <w:p>
      <w:r>
        <w:rPr>
          <w:rFonts w:ascii="宋体" w:hAnsi="宋体" w:eastAsia="宋体"/>
          <w:b/>
          <w:sz w:val="24"/>
        </w:rPr>
        <w:t>关键词：绿色发展；熵权法；TOPSIS；耦合协调度；综合评价</w:t>
      </w:r>
    </w:p>
    <w:p>
      <w:r>
        <w:br w:type="page"/>
      </w:r>
    </w:p>
    <w:p>
      <w:pPr>
        <w:jc w:val="center"/>
      </w:pPr>
      <w:r>
        <w:rPr>
          <w:rFonts w:ascii="黑体" w:hAnsi="黑体" w:eastAsia="黑体"/>
          <w:b/>
          <w:sz w:val="30"/>
        </w:rPr>
        <w:t>目  录</w:t>
      </w:r>
    </w:p>
    <w:p>
      <w:r>
        <w:rPr>
          <w:rFonts w:ascii="宋体" w:hAnsi="宋体" w:eastAsia="宋体"/>
          <w:sz w:val="24"/>
        </w:rPr>
        <w:t>一、研究背景与意义                                    3</w:t>
      </w:r>
    </w:p>
    <w:p>
      <w:r>
        <w:rPr>
          <w:rFonts w:ascii="宋体" w:hAnsi="宋体" w:eastAsia="宋体"/>
          <w:sz w:val="24"/>
        </w:rPr>
        <w:t>二、文献综述与理论基础                                3</w:t>
      </w:r>
    </w:p>
    <w:p>
      <w:r>
        <w:rPr>
          <w:rFonts w:ascii="宋体" w:hAnsi="宋体" w:eastAsia="宋体"/>
          <w:sz w:val="24"/>
        </w:rPr>
        <w:t xml:space="preserve">  （一）绿色发展评价研究综述                          3</w:t>
      </w:r>
    </w:p>
    <w:p>
      <w:r>
        <w:rPr>
          <w:rFonts w:ascii="宋体" w:hAnsi="宋体" w:eastAsia="宋体"/>
          <w:sz w:val="24"/>
        </w:rPr>
        <w:t xml:space="preserve">  （二）评价方法理论基础                              4</w:t>
      </w:r>
    </w:p>
    <w:p>
      <w:r>
        <w:rPr>
          <w:rFonts w:ascii="宋体" w:hAnsi="宋体" w:eastAsia="宋体"/>
          <w:sz w:val="24"/>
        </w:rPr>
        <w:t>三、研究方法与数据                                    5</w:t>
      </w:r>
    </w:p>
    <w:p>
      <w:r>
        <w:rPr>
          <w:rFonts w:ascii="宋体" w:hAnsi="宋体" w:eastAsia="宋体"/>
          <w:sz w:val="24"/>
        </w:rPr>
        <w:t xml:space="preserve">  （一）指标体系构建                                  5</w:t>
      </w:r>
    </w:p>
    <w:p>
      <w:r>
        <w:rPr>
          <w:rFonts w:ascii="宋体" w:hAnsi="宋体" w:eastAsia="宋体"/>
          <w:sz w:val="24"/>
        </w:rPr>
        <w:t xml:space="preserve">  （二）熵权法                                        6</w:t>
      </w:r>
    </w:p>
    <w:p>
      <w:r>
        <w:rPr>
          <w:rFonts w:ascii="宋体" w:hAnsi="宋体" w:eastAsia="宋体"/>
          <w:sz w:val="24"/>
        </w:rPr>
        <w:t xml:space="preserve">  （三）TOPSIS方法                                    7</w:t>
      </w:r>
    </w:p>
    <w:p>
      <w:r>
        <w:rPr>
          <w:rFonts w:ascii="宋体" w:hAnsi="宋体" w:eastAsia="宋体"/>
          <w:sz w:val="24"/>
        </w:rPr>
        <w:t xml:space="preserve">  （四）耦合协调度模型                                7</w:t>
      </w:r>
    </w:p>
    <w:p>
      <w:r>
        <w:rPr>
          <w:rFonts w:ascii="宋体" w:hAnsi="宋体" w:eastAsia="宋体"/>
          <w:sz w:val="24"/>
        </w:rPr>
        <w:t>四、实证分析结果                                      8</w:t>
      </w:r>
    </w:p>
    <w:p>
      <w:r>
        <w:rPr>
          <w:rFonts w:ascii="宋体" w:hAnsi="宋体" w:eastAsia="宋体"/>
          <w:sz w:val="24"/>
        </w:rPr>
        <w:t xml:space="preserve">  （一）熵权法权重结果                                8</w:t>
      </w:r>
    </w:p>
    <w:p>
      <w:r>
        <w:rPr>
          <w:rFonts w:ascii="宋体" w:hAnsi="宋体" w:eastAsia="宋体"/>
          <w:sz w:val="24"/>
        </w:rPr>
        <w:t xml:space="preserve">  （二）TOPSIS综合得分分析                            9</w:t>
      </w:r>
    </w:p>
    <w:p>
      <w:r>
        <w:rPr>
          <w:rFonts w:ascii="宋体" w:hAnsi="宋体" w:eastAsia="宋体"/>
          <w:sz w:val="24"/>
        </w:rPr>
        <w:t xml:space="preserve">  （三）耦合协调度分析                                10</w:t>
      </w:r>
    </w:p>
    <w:p>
      <w:r>
        <w:rPr>
          <w:rFonts w:ascii="宋体" w:hAnsi="宋体" w:eastAsia="宋体"/>
          <w:sz w:val="24"/>
        </w:rPr>
        <w:t xml:space="preserve">  （四）时间演化特征分析                              11</w:t>
      </w:r>
    </w:p>
    <w:p>
      <w:r>
        <w:rPr>
          <w:rFonts w:ascii="宋体" w:hAnsi="宋体" w:eastAsia="宋体"/>
          <w:sz w:val="24"/>
        </w:rPr>
        <w:t xml:space="preserve">  （五）区域差异分析                                  12</w:t>
      </w:r>
    </w:p>
    <w:p>
      <w:r>
        <w:rPr>
          <w:rFonts w:ascii="宋体" w:hAnsi="宋体" w:eastAsia="宋体"/>
          <w:sz w:val="24"/>
        </w:rPr>
        <w:t>五、结论与政策建议                                    13</w:t>
      </w:r>
    </w:p>
    <w:p>
      <w:r>
        <w:rPr>
          <w:rFonts w:ascii="宋体" w:hAnsi="宋体" w:eastAsia="宋体"/>
          <w:sz w:val="24"/>
        </w:rPr>
        <w:t>参考文献                                            14</w:t>
      </w:r>
    </w:p>
    <w:p>
      <w:r>
        <w:br w:type="page"/>
      </w:r>
    </w:p>
    <w:p>
      <w:pPr>
        <w:jc w:val="left"/>
      </w:pPr>
      <w:r>
        <w:rPr>
          <w:rFonts w:ascii="黑体" w:hAnsi="黑体" w:eastAsia="黑体"/>
          <w:b/>
          <w:sz w:val="30"/>
        </w:rPr>
        <w:t>一、研究背景与意义</w:t>
      </w:r>
    </w:p>
    <w:p>
      <w:pPr>
        <w:spacing w:line="480" w:lineRule="exact"/>
        <w:ind w:firstLine="480"/>
        <w:jc w:val="both"/>
      </w:pPr>
      <w:r>
        <w:rPr>
          <w:rFonts w:ascii="宋体" w:hAnsi="宋体" w:eastAsia="宋体"/>
          <w:sz w:val="24"/>
        </w:rPr>
        <w:t>改革开放以来，中国经济取得了举世瞩目的发展成就，但也面临资源约束趋紧、环境污染加剧等严峻挑战。党的十八大报告明确提出"把生态文明建设放在突出地位"，党的二十大报告进一步强调"推动绿色发展，促进人与自然和谐共生"。在此背景下，科学测度区域绿色发展水平，分析其时空演化特征，对于制定差异化绿色发展战略具有重要的理论价值和现实意义。</w:t>
      </w:r>
    </w:p>
    <w:p>
      <w:pPr>
        <w:spacing w:line="480" w:lineRule="exact"/>
        <w:ind w:firstLine="480"/>
        <w:jc w:val="both"/>
      </w:pPr>
      <w:r>
        <w:rPr>
          <w:rFonts w:ascii="宋体" w:hAnsi="宋体" w:eastAsia="宋体"/>
          <w:sz w:val="24"/>
        </w:rPr>
        <w:t>现有研究多从单一维度评价绿色发展水平，较少考虑经济系统与环境系统之间的耦合互动关系。本文运用熵权TOPSIS-耦合协调度模型，在客观赋权的基础上综合评价绿色发展水平，并引入耦合协调度模型刻画经济与环境两大子系统的协调演进规律，以期为我国绿色发展政策优化提供实证依据。</w:t>
      </w:r>
    </w:p>
    <w:p>
      <w:pPr>
        <w:jc w:val="left"/>
      </w:pPr>
      <w:r>
        <w:rPr>
          <w:rFonts w:ascii="黑体" w:hAnsi="黑体" w:eastAsia="黑体"/>
          <w:b/>
          <w:sz w:val="30"/>
        </w:rPr>
        <w:t>二、文献综述与理论基础</w:t>
      </w:r>
    </w:p>
    <w:p>
      <w:pPr>
        <w:jc w:val="left"/>
      </w:pPr>
      <w:r>
        <w:rPr>
          <w:rFonts w:ascii="楷体" w:hAnsi="楷体" w:eastAsia="楷体"/>
          <w:b/>
          <w:sz w:val="28"/>
        </w:rPr>
        <w:t>（一）绿色发展评价研究综述</w:t>
      </w:r>
    </w:p>
    <w:p>
      <w:pPr>
        <w:spacing w:line="480" w:lineRule="exact"/>
        <w:ind w:firstLine="480"/>
        <w:jc w:val="both"/>
      </w:pPr>
      <w:r>
        <w:rPr>
          <w:rFonts w:ascii="宋体" w:hAnsi="宋体" w:eastAsia="宋体"/>
          <w:sz w:val="24"/>
        </w:rPr>
        <w:t>绿色发展概念源于可持续发展理论的深化与拓展，强调在保护生态环境的前提下实现经济增长。国际学术界从环境绩效指数（EPI）、生态足迹（EF）、绿色GDP等多维视角开展评价研究。国内学者杨志（2009）最早系统阐述绿色发展的内涵与实现路径，此后胡鞍钢（2015）、李晓西（2014）等从不同维度构建绿色发展评价指标体系。在评价方法上，层次分析法（AHP）、熵权法、TOPSIS、因子分析等多元统计方法被广泛应用。随着研究的深入，耦合协调度模型逐渐被引入绿色发展评价，用于刻画经济与环境系统的交互关系（刘燕妮等，2016）。</w:t>
      </w:r>
    </w:p>
    <w:p>
      <w:pPr>
        <w:spacing w:line="480" w:lineRule="exact"/>
        <w:ind w:firstLine="480"/>
        <w:jc w:val="both"/>
      </w:pPr>
      <w:r>
        <w:rPr>
          <w:rFonts w:ascii="宋体" w:hAnsi="宋体" w:eastAsia="宋体"/>
          <w:sz w:val="24"/>
        </w:rPr>
        <w:t>总体来看，现有研究存在以下不足：一是评价指标体系不够统一，指标选取存在主观性；二是多采用时间序列截面数据，缺乏面板数据的时空双维度分析；三是较少将耦合协调度模型与TOPSIS方法结合，未能全面刻画系统间的协调演进规律。本文在借鉴已有研究的基础上，构建科学、系统、可量化的绿色发展评价指标体系，并运用熵权TOPSIS-耦合协调度模型开展实证研究。</w:t>
      </w:r>
    </w:p>
    <w:p>
      <w:pPr>
        <w:jc w:val="left"/>
      </w:pPr>
      <w:r>
        <w:rPr>
          <w:rFonts w:ascii="楷体" w:hAnsi="楷体" w:eastAsia="楷体"/>
          <w:b/>
          <w:sz w:val="28"/>
        </w:rPr>
        <w:t>（二）评价方法理论基础</w:t>
      </w:r>
    </w:p>
    <w:p>
      <w:pPr>
        <w:spacing w:line="480" w:lineRule="exact"/>
        <w:ind w:firstLine="480"/>
        <w:jc w:val="both"/>
      </w:pPr>
      <w:r>
        <w:rPr>
          <w:rFonts w:ascii="宋体" w:hAnsi="宋体" w:eastAsia="宋体"/>
          <w:sz w:val="24"/>
        </w:rPr>
        <w:t>（1）极差标准化法：通过对原始数据进行线性变换，消除量纲和数量级差异的影响，使不同指标具有可比性。正向指标标准化后数值越大表示发展水平越高，负向指标则相反。</w:t>
      </w:r>
    </w:p>
    <w:p>
      <w:pPr>
        <w:spacing w:line="480" w:lineRule="exact"/>
        <w:ind w:firstLine="480"/>
        <w:jc w:val="both"/>
      </w:pPr>
      <w:r>
        <w:rPr>
          <w:rFonts w:ascii="宋体" w:hAnsi="宋体" w:eastAsia="宋体"/>
          <w:sz w:val="24"/>
        </w:rPr>
        <w:t>（2）熵权法：基于信息论中的熵概念，通过计算各指标的信息熵确定权重。指标的离散程度越大，信息熵越小，权重越大，客观反映了指标对评价结果的影响程度。</w:t>
      </w:r>
    </w:p>
    <w:p>
      <w:pPr>
        <w:spacing w:line="480" w:lineRule="exact"/>
        <w:ind w:firstLine="480"/>
        <w:jc w:val="both"/>
      </w:pPr>
      <w:r>
        <w:rPr>
          <w:rFonts w:ascii="宋体" w:hAnsi="宋体" w:eastAsia="宋体"/>
          <w:sz w:val="24"/>
        </w:rPr>
        <w:t>（3）TOPSIS方法：通过计算评价对象与正理想解和负理想解的相对距离，综合评价各对象的相对优劣程度，避免了主观赋权的偏差。</w:t>
      </w:r>
    </w:p>
    <w:p>
      <w:pPr>
        <w:spacing w:line="480" w:lineRule="exact"/>
        <w:ind w:firstLine="480"/>
        <w:jc w:val="both"/>
      </w:pPr>
      <w:r>
        <w:rPr>
          <w:rFonts w:ascii="宋体" w:hAnsi="宋体" w:eastAsia="宋体"/>
          <w:sz w:val="24"/>
        </w:rPr>
        <w:t>（4）耦合协调度模型：借鉴物理学中耦合概念，将经济与环境视为相互作用的两大子系统，通过计算耦合度和耦合协调度，定量刻画系统间的协调演进程度。</w:t>
      </w:r>
    </w:p>
    <w:p>
      <w:pPr>
        <w:jc w:val="left"/>
      </w:pPr>
      <w:r>
        <w:rPr>
          <w:rFonts w:ascii="黑体" w:hAnsi="黑体" w:eastAsia="黑体"/>
          <w:b/>
          <w:sz w:val="30"/>
        </w:rPr>
        <w:t>三、研究方法与数据</w:t>
      </w:r>
    </w:p>
    <w:p>
      <w:pPr>
        <w:jc w:val="left"/>
      </w:pPr>
      <w:r>
        <w:rPr>
          <w:rFonts w:ascii="楷体" w:hAnsi="楷体" w:eastAsia="楷体"/>
          <w:b/>
          <w:sz w:val="28"/>
        </w:rPr>
        <w:t>（一）指标体系构建</w:t>
      </w:r>
    </w:p>
    <w:p>
      <w:pPr>
        <w:spacing w:line="480" w:lineRule="exact"/>
        <w:ind w:firstLine="480"/>
        <w:jc w:val="both"/>
      </w:pPr>
      <w:r>
        <w:rPr>
          <w:rFonts w:ascii="宋体" w:hAnsi="宋体" w:eastAsia="宋体"/>
          <w:sz w:val="24"/>
        </w:rPr>
        <w:t>遵循科学性、系统性、可操作性原则，本文构建了涵盖国民经济、能源、科技、资源与环境四大系统的绿色发展评价指标体系，包含10项核心指标（见表1）。其中，国民经济系统反映经济发展水平；能源系统反映资源利用效率；科技系统反映创新能力；资源与环境系统反映生态环境质量。</w:t>
      </w:r>
    </w:p>
    <w:p>
      <w:pPr>
        <w:jc w:val="center"/>
      </w:pPr>
      <w:r>
        <w:rPr>
          <w:rFonts w:ascii="黑体" w:hAnsi="黑体" w:eastAsia="黑体"/>
          <w:b/>
          <w:sz w:val="21"/>
        </w:rPr>
        <w:t>表1  我国绿色发展水平评价指标体系</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134"/>
          </w:tcPr>
          <w:p>
            <w:pPr>
              <w:jc w:val="center"/>
            </w:pPr>
            <w:r/>
            <w:r>
              <w:rPr>
                <w:rFonts w:ascii="黑体" w:hAnsi="黑体" w:eastAsia="黑体"/>
                <w:b/>
                <w:sz w:val="21"/>
              </w:rPr>
              <w:t>系统</w:t>
            </w:r>
          </w:p>
        </w:tc>
        <w:tc>
          <w:tcPr>
            <w:tcW w:type="dxa" w:w="1814"/>
          </w:tcPr>
          <w:p>
            <w:pPr>
              <w:jc w:val="center"/>
            </w:pPr>
            <w:r/>
            <w:r>
              <w:rPr>
                <w:rFonts w:ascii="黑体" w:hAnsi="黑体" w:eastAsia="黑体"/>
                <w:b/>
                <w:sz w:val="21"/>
              </w:rPr>
              <w:t>指标名称</w:t>
            </w:r>
          </w:p>
        </w:tc>
        <w:tc>
          <w:tcPr>
            <w:tcW w:type="dxa" w:w="2551"/>
          </w:tcPr>
          <w:p>
            <w:pPr>
              <w:jc w:val="center"/>
            </w:pPr>
            <w:r/>
            <w:r>
              <w:rPr>
                <w:rFonts w:ascii="黑体" w:hAnsi="黑体" w:eastAsia="黑体"/>
                <w:b/>
                <w:sz w:val="21"/>
              </w:rPr>
              <w:t>指标说明</w:t>
            </w:r>
          </w:p>
        </w:tc>
        <w:tc>
          <w:tcPr>
            <w:tcW w:type="dxa" w:w="680"/>
          </w:tcPr>
          <w:p>
            <w:pPr>
              <w:jc w:val="center"/>
            </w:pPr>
            <w:r/>
            <w:r>
              <w:rPr>
                <w:rFonts w:ascii="黑体" w:hAnsi="黑体" w:eastAsia="黑体"/>
                <w:b/>
                <w:sz w:val="21"/>
              </w:rPr>
              <w:t>类型</w:t>
            </w:r>
          </w:p>
        </w:tc>
        <w:tc>
          <w:tcPr>
            <w:tcW w:type="dxa" w:w="624"/>
          </w:tcPr>
          <w:p>
            <w:pPr>
              <w:jc w:val="center"/>
            </w:pPr>
            <w:r/>
            <w:r>
              <w:rPr>
                <w:rFonts w:ascii="黑体" w:hAnsi="黑体" w:eastAsia="黑体"/>
                <w:b/>
                <w:sz w:val="21"/>
              </w:rPr>
              <w:t>权重</w:t>
            </w:r>
          </w:p>
        </w:tc>
      </w:tr>
      <w:tr>
        <w:tc>
          <w:tcPr>
            <w:tcW w:type="dxa" w:w="1134"/>
          </w:tcPr>
          <w:p>
            <w:pPr>
              <w:jc w:val="center"/>
            </w:pPr>
            <w:r/>
            <w:r>
              <w:rPr>
                <w:rFonts w:ascii="宋体" w:hAnsi="宋体" w:eastAsia="宋体"/>
                <w:sz w:val="21"/>
              </w:rPr>
              <w:t>国民经济</w:t>
            </w:r>
          </w:p>
        </w:tc>
        <w:tc>
          <w:tcPr>
            <w:tcW w:type="dxa" w:w="1814"/>
          </w:tcPr>
          <w:p>
            <w:pPr>
              <w:jc w:val="center"/>
            </w:pPr>
            <w:r/>
            <w:r>
              <w:rPr>
                <w:rFonts w:ascii="宋体" w:hAnsi="宋体" w:eastAsia="宋体"/>
                <w:sz w:val="21"/>
              </w:rPr>
              <w:t>人均GDP</w:t>
            </w:r>
          </w:p>
        </w:tc>
        <w:tc>
          <w:tcPr>
            <w:tcW w:type="dxa" w:w="2551"/>
          </w:tcPr>
          <w:p>
            <w:pPr>
              <w:jc w:val="center"/>
            </w:pPr>
            <w:r/>
            <w:r>
              <w:rPr>
                <w:rFonts w:ascii="宋体" w:hAnsi="宋体" w:eastAsia="宋体"/>
                <w:sz w:val="21"/>
              </w:rPr>
              <w:t>反映经济发展水平与富裕程度</w:t>
            </w:r>
          </w:p>
        </w:tc>
        <w:tc>
          <w:tcPr>
            <w:tcW w:type="dxa" w:w="680"/>
          </w:tcPr>
          <w:p>
            <w:pPr>
              <w:jc w:val="center"/>
            </w:pPr>
            <w:r/>
            <w:r>
              <w:rPr>
                <w:rFonts w:ascii="宋体" w:hAnsi="宋体" w:eastAsia="宋体"/>
                <w:sz w:val="21"/>
              </w:rPr>
              <w:t>正向</w:t>
            </w:r>
          </w:p>
        </w:tc>
        <w:tc>
          <w:tcPr>
            <w:tcW w:type="dxa" w:w="624"/>
          </w:tcPr>
          <w:p>
            <w:pPr>
              <w:jc w:val="center"/>
            </w:pPr>
            <w:r/>
            <w:r>
              <w:rPr>
                <w:rFonts w:ascii="宋体" w:hAnsi="宋体" w:eastAsia="宋体"/>
                <w:sz w:val="21"/>
              </w:rPr>
              <w:t>0.1174</w:t>
            </w:r>
          </w:p>
        </w:tc>
      </w:tr>
      <w:tr>
        <w:tc>
          <w:tcPr>
            <w:tcW w:type="dxa" w:w="1134"/>
          </w:tcPr>
          <w:p>
            <w:pPr>
              <w:jc w:val="center"/>
            </w:pPr>
            <w:r/>
            <w:r>
              <w:rPr>
                <w:rFonts w:ascii="宋体" w:hAnsi="宋体" w:eastAsia="宋体"/>
                <w:sz w:val="21"/>
              </w:rPr>
              <w:t>国民经济</w:t>
            </w:r>
          </w:p>
        </w:tc>
        <w:tc>
          <w:tcPr>
            <w:tcW w:type="dxa" w:w="1814"/>
          </w:tcPr>
          <w:p>
            <w:pPr>
              <w:jc w:val="center"/>
            </w:pPr>
            <w:r/>
            <w:r>
              <w:rPr>
                <w:rFonts w:ascii="宋体" w:hAnsi="宋体" w:eastAsia="宋体"/>
                <w:sz w:val="21"/>
              </w:rPr>
              <w:t>第三产业占GDP比重</w:t>
            </w:r>
          </w:p>
        </w:tc>
        <w:tc>
          <w:tcPr>
            <w:tcW w:type="dxa" w:w="2551"/>
          </w:tcPr>
          <w:p>
            <w:pPr>
              <w:jc w:val="center"/>
            </w:pPr>
            <w:r/>
            <w:r>
              <w:rPr>
                <w:rFonts w:ascii="宋体" w:hAnsi="宋体" w:eastAsia="宋体"/>
                <w:sz w:val="21"/>
              </w:rPr>
              <w:t>反映产业结构高级化程度</w:t>
            </w:r>
          </w:p>
        </w:tc>
        <w:tc>
          <w:tcPr>
            <w:tcW w:type="dxa" w:w="680"/>
          </w:tcPr>
          <w:p>
            <w:pPr>
              <w:jc w:val="center"/>
            </w:pPr>
            <w:r/>
            <w:r>
              <w:rPr>
                <w:rFonts w:ascii="宋体" w:hAnsi="宋体" w:eastAsia="宋体"/>
                <w:sz w:val="21"/>
              </w:rPr>
              <w:t>正向</w:t>
            </w:r>
          </w:p>
        </w:tc>
        <w:tc>
          <w:tcPr>
            <w:tcW w:type="dxa" w:w="624"/>
          </w:tcPr>
          <w:p>
            <w:pPr>
              <w:jc w:val="center"/>
            </w:pPr>
            <w:r/>
            <w:r>
              <w:rPr>
                <w:rFonts w:ascii="宋体" w:hAnsi="宋体" w:eastAsia="宋体"/>
                <w:sz w:val="21"/>
              </w:rPr>
              <w:t>0.1083</w:t>
            </w:r>
          </w:p>
        </w:tc>
      </w:tr>
      <w:tr>
        <w:tc>
          <w:tcPr>
            <w:tcW w:type="dxa" w:w="1134"/>
          </w:tcPr>
          <w:p>
            <w:pPr>
              <w:jc w:val="center"/>
            </w:pPr>
            <w:r/>
            <w:r>
              <w:rPr>
                <w:rFonts w:ascii="宋体" w:hAnsi="宋体" w:eastAsia="宋体"/>
                <w:sz w:val="21"/>
              </w:rPr>
              <w:t>科技</w:t>
            </w:r>
          </w:p>
        </w:tc>
        <w:tc>
          <w:tcPr>
            <w:tcW w:type="dxa" w:w="1814"/>
          </w:tcPr>
          <w:p>
            <w:pPr>
              <w:jc w:val="center"/>
            </w:pPr>
            <w:r/>
            <w:r>
              <w:rPr>
                <w:rFonts w:ascii="宋体" w:hAnsi="宋体" w:eastAsia="宋体"/>
                <w:sz w:val="21"/>
              </w:rPr>
              <w:t>R&amp;D经费占GDP比重</w:t>
            </w:r>
          </w:p>
        </w:tc>
        <w:tc>
          <w:tcPr>
            <w:tcW w:type="dxa" w:w="2551"/>
          </w:tcPr>
          <w:p>
            <w:pPr>
              <w:jc w:val="center"/>
            </w:pPr>
            <w:r/>
            <w:r>
              <w:rPr>
                <w:rFonts w:ascii="宋体" w:hAnsi="宋体" w:eastAsia="宋体"/>
                <w:sz w:val="21"/>
              </w:rPr>
              <w:t>反映科技创新投入强度</w:t>
            </w:r>
          </w:p>
        </w:tc>
        <w:tc>
          <w:tcPr>
            <w:tcW w:type="dxa" w:w="680"/>
          </w:tcPr>
          <w:p>
            <w:pPr>
              <w:jc w:val="center"/>
            </w:pPr>
            <w:r/>
            <w:r>
              <w:rPr>
                <w:rFonts w:ascii="宋体" w:hAnsi="宋体" w:eastAsia="宋体"/>
                <w:sz w:val="21"/>
              </w:rPr>
              <w:t>正向</w:t>
            </w:r>
          </w:p>
        </w:tc>
        <w:tc>
          <w:tcPr>
            <w:tcW w:type="dxa" w:w="624"/>
          </w:tcPr>
          <w:p>
            <w:pPr>
              <w:jc w:val="center"/>
            </w:pPr>
            <w:r/>
            <w:r>
              <w:rPr>
                <w:rFonts w:ascii="宋体" w:hAnsi="宋体" w:eastAsia="宋体"/>
                <w:sz w:val="21"/>
              </w:rPr>
              <w:t>0.1182</w:t>
            </w:r>
          </w:p>
        </w:tc>
      </w:tr>
      <w:tr>
        <w:tc>
          <w:tcPr>
            <w:tcW w:type="dxa" w:w="1134"/>
          </w:tcPr>
          <w:p>
            <w:pPr>
              <w:jc w:val="center"/>
            </w:pPr>
            <w:r/>
            <w:r>
              <w:rPr>
                <w:rFonts w:ascii="宋体" w:hAnsi="宋体" w:eastAsia="宋体"/>
                <w:sz w:val="21"/>
              </w:rPr>
              <w:t>能源</w:t>
            </w:r>
          </w:p>
        </w:tc>
        <w:tc>
          <w:tcPr>
            <w:tcW w:type="dxa" w:w="1814"/>
          </w:tcPr>
          <w:p>
            <w:pPr>
              <w:jc w:val="center"/>
            </w:pPr>
            <w:r/>
            <w:r>
              <w:rPr>
                <w:rFonts w:ascii="宋体" w:hAnsi="宋体" w:eastAsia="宋体"/>
                <w:sz w:val="21"/>
              </w:rPr>
              <w:t>单位GDP能耗</w:t>
            </w:r>
          </w:p>
        </w:tc>
        <w:tc>
          <w:tcPr>
            <w:tcW w:type="dxa" w:w="2551"/>
          </w:tcPr>
          <w:p>
            <w:pPr>
              <w:jc w:val="center"/>
            </w:pPr>
            <w:r/>
            <w:r>
              <w:rPr>
                <w:rFonts w:ascii="宋体" w:hAnsi="宋体" w:eastAsia="宋体"/>
                <w:sz w:val="21"/>
              </w:rPr>
              <w:t>吨标准煤/万元GDP，反映能源利用效率</w:t>
            </w:r>
          </w:p>
        </w:tc>
        <w:tc>
          <w:tcPr>
            <w:tcW w:type="dxa" w:w="680"/>
          </w:tcPr>
          <w:p>
            <w:pPr>
              <w:jc w:val="center"/>
            </w:pPr>
            <w:r/>
            <w:r>
              <w:rPr>
                <w:rFonts w:ascii="宋体" w:hAnsi="宋体" w:eastAsia="宋体"/>
                <w:sz w:val="21"/>
              </w:rPr>
              <w:t>负向</w:t>
            </w:r>
          </w:p>
        </w:tc>
        <w:tc>
          <w:tcPr>
            <w:tcW w:type="dxa" w:w="624"/>
          </w:tcPr>
          <w:p>
            <w:pPr>
              <w:jc w:val="center"/>
            </w:pPr>
            <w:r/>
            <w:r>
              <w:rPr>
                <w:rFonts w:ascii="宋体" w:hAnsi="宋体" w:eastAsia="宋体"/>
                <w:sz w:val="21"/>
              </w:rPr>
              <w:t>0.0872</w:t>
            </w:r>
          </w:p>
        </w:tc>
      </w:tr>
      <w:tr>
        <w:tc>
          <w:tcPr>
            <w:tcW w:type="dxa" w:w="1134"/>
          </w:tcPr>
          <w:p>
            <w:pPr>
              <w:jc w:val="center"/>
            </w:pPr>
            <w:r/>
            <w:r>
              <w:rPr>
                <w:rFonts w:ascii="宋体" w:hAnsi="宋体" w:eastAsia="宋体"/>
                <w:sz w:val="21"/>
              </w:rPr>
              <w:t>能源</w:t>
            </w:r>
          </w:p>
        </w:tc>
        <w:tc>
          <w:tcPr>
            <w:tcW w:type="dxa" w:w="1814"/>
          </w:tcPr>
          <w:p>
            <w:pPr>
              <w:jc w:val="center"/>
            </w:pPr>
            <w:r/>
            <w:r>
              <w:rPr>
                <w:rFonts w:ascii="宋体" w:hAnsi="宋体" w:eastAsia="宋体"/>
                <w:sz w:val="21"/>
              </w:rPr>
              <w:t>单位GDP水耗</w:t>
            </w:r>
          </w:p>
        </w:tc>
        <w:tc>
          <w:tcPr>
            <w:tcW w:type="dxa" w:w="2551"/>
          </w:tcPr>
          <w:p>
            <w:pPr>
              <w:jc w:val="center"/>
            </w:pPr>
            <w:r/>
            <w:r>
              <w:rPr>
                <w:rFonts w:ascii="宋体" w:hAnsi="宋体" w:eastAsia="宋体"/>
                <w:sz w:val="21"/>
              </w:rPr>
              <w:t>立方米/万元GDP，反映水资源利用效率</w:t>
            </w:r>
          </w:p>
        </w:tc>
        <w:tc>
          <w:tcPr>
            <w:tcW w:type="dxa" w:w="680"/>
          </w:tcPr>
          <w:p>
            <w:pPr>
              <w:jc w:val="center"/>
            </w:pPr>
            <w:r/>
            <w:r>
              <w:rPr>
                <w:rFonts w:ascii="宋体" w:hAnsi="宋体" w:eastAsia="宋体"/>
                <w:sz w:val="21"/>
              </w:rPr>
              <w:t>负向</w:t>
            </w:r>
          </w:p>
        </w:tc>
        <w:tc>
          <w:tcPr>
            <w:tcW w:type="dxa" w:w="624"/>
          </w:tcPr>
          <w:p>
            <w:pPr>
              <w:jc w:val="center"/>
            </w:pPr>
            <w:r/>
            <w:r>
              <w:rPr>
                <w:rFonts w:ascii="宋体" w:hAnsi="宋体" w:eastAsia="宋体"/>
                <w:sz w:val="21"/>
              </w:rPr>
              <w:t>0.0759</w:t>
            </w:r>
          </w:p>
        </w:tc>
      </w:tr>
      <w:tr>
        <w:tc>
          <w:tcPr>
            <w:tcW w:type="dxa" w:w="1134"/>
          </w:tcPr>
          <w:p>
            <w:pPr>
              <w:jc w:val="center"/>
            </w:pPr>
            <w:r/>
            <w:r>
              <w:rPr>
                <w:rFonts w:ascii="宋体" w:hAnsi="宋体" w:eastAsia="宋体"/>
                <w:sz w:val="21"/>
              </w:rPr>
              <w:t>资源与环境</w:t>
            </w:r>
          </w:p>
        </w:tc>
        <w:tc>
          <w:tcPr>
            <w:tcW w:type="dxa" w:w="1814"/>
          </w:tcPr>
          <w:p>
            <w:pPr>
              <w:jc w:val="center"/>
            </w:pPr>
            <w:r/>
            <w:r>
              <w:rPr>
                <w:rFonts w:ascii="宋体" w:hAnsi="宋体" w:eastAsia="宋体"/>
                <w:sz w:val="21"/>
              </w:rPr>
              <w:t>污水处理率</w:t>
            </w:r>
          </w:p>
        </w:tc>
        <w:tc>
          <w:tcPr>
            <w:tcW w:type="dxa" w:w="2551"/>
          </w:tcPr>
          <w:p>
            <w:pPr>
              <w:jc w:val="center"/>
            </w:pPr>
            <w:r/>
            <w:r>
              <w:rPr>
                <w:rFonts w:ascii="宋体" w:hAnsi="宋体" w:eastAsia="宋体"/>
                <w:sz w:val="21"/>
              </w:rPr>
              <w:t>城镇污水处理率（%），反映水环境治理水平</w:t>
            </w:r>
          </w:p>
        </w:tc>
        <w:tc>
          <w:tcPr>
            <w:tcW w:type="dxa" w:w="680"/>
          </w:tcPr>
          <w:p>
            <w:pPr>
              <w:jc w:val="center"/>
            </w:pPr>
            <w:r/>
            <w:r>
              <w:rPr>
                <w:rFonts w:ascii="宋体" w:hAnsi="宋体" w:eastAsia="宋体"/>
                <w:sz w:val="21"/>
              </w:rPr>
              <w:t>正向</w:t>
            </w:r>
          </w:p>
        </w:tc>
        <w:tc>
          <w:tcPr>
            <w:tcW w:type="dxa" w:w="624"/>
          </w:tcPr>
          <w:p>
            <w:pPr>
              <w:jc w:val="center"/>
            </w:pPr>
            <w:r/>
            <w:r>
              <w:rPr>
                <w:rFonts w:ascii="宋体" w:hAnsi="宋体" w:eastAsia="宋体"/>
                <w:sz w:val="21"/>
              </w:rPr>
              <w:t>0.1422</w:t>
            </w:r>
          </w:p>
        </w:tc>
      </w:tr>
      <w:tr>
        <w:tc>
          <w:tcPr>
            <w:tcW w:type="dxa" w:w="1134"/>
          </w:tcPr>
          <w:p>
            <w:pPr>
              <w:jc w:val="center"/>
            </w:pPr>
            <w:r/>
            <w:r>
              <w:rPr>
                <w:rFonts w:ascii="宋体" w:hAnsi="宋体" w:eastAsia="宋体"/>
                <w:sz w:val="21"/>
              </w:rPr>
              <w:t>资源与环境</w:t>
            </w:r>
          </w:p>
        </w:tc>
        <w:tc>
          <w:tcPr>
            <w:tcW w:type="dxa" w:w="1814"/>
          </w:tcPr>
          <w:p>
            <w:pPr>
              <w:jc w:val="center"/>
            </w:pPr>
            <w:r/>
            <w:r>
              <w:rPr>
                <w:rFonts w:ascii="宋体" w:hAnsi="宋体" w:eastAsia="宋体"/>
                <w:sz w:val="21"/>
              </w:rPr>
              <w:t>生活垃圾无害化处理率</w:t>
            </w:r>
          </w:p>
        </w:tc>
        <w:tc>
          <w:tcPr>
            <w:tcW w:type="dxa" w:w="2551"/>
          </w:tcPr>
          <w:p>
            <w:pPr>
              <w:jc w:val="center"/>
            </w:pPr>
            <w:r/>
            <w:r>
              <w:rPr>
                <w:rFonts w:ascii="宋体" w:hAnsi="宋体" w:eastAsia="宋体"/>
                <w:sz w:val="21"/>
              </w:rPr>
              <w:t>反映固体废物治理水平</w:t>
            </w:r>
          </w:p>
        </w:tc>
        <w:tc>
          <w:tcPr>
            <w:tcW w:type="dxa" w:w="680"/>
          </w:tcPr>
          <w:p>
            <w:pPr>
              <w:jc w:val="center"/>
            </w:pPr>
            <w:r/>
            <w:r>
              <w:rPr>
                <w:rFonts w:ascii="宋体" w:hAnsi="宋体" w:eastAsia="宋体"/>
                <w:sz w:val="21"/>
              </w:rPr>
              <w:t>正向</w:t>
            </w:r>
          </w:p>
        </w:tc>
        <w:tc>
          <w:tcPr>
            <w:tcW w:type="dxa" w:w="624"/>
          </w:tcPr>
          <w:p>
            <w:pPr>
              <w:jc w:val="center"/>
            </w:pPr>
            <w:r/>
            <w:r>
              <w:rPr>
                <w:rFonts w:ascii="宋体" w:hAnsi="宋体" w:eastAsia="宋体"/>
                <w:sz w:val="21"/>
              </w:rPr>
              <w:t>0.0778</w:t>
            </w:r>
          </w:p>
        </w:tc>
      </w:tr>
      <w:tr>
        <w:tc>
          <w:tcPr>
            <w:tcW w:type="dxa" w:w="1134"/>
          </w:tcPr>
          <w:p>
            <w:pPr>
              <w:jc w:val="center"/>
            </w:pPr>
            <w:r/>
            <w:r>
              <w:rPr>
                <w:rFonts w:ascii="宋体" w:hAnsi="宋体" w:eastAsia="宋体"/>
                <w:sz w:val="21"/>
              </w:rPr>
              <w:t>资源与环境</w:t>
            </w:r>
          </w:p>
        </w:tc>
        <w:tc>
          <w:tcPr>
            <w:tcW w:type="dxa" w:w="1814"/>
          </w:tcPr>
          <w:p>
            <w:pPr>
              <w:jc w:val="center"/>
            </w:pPr>
            <w:r/>
            <w:r>
              <w:rPr>
                <w:rFonts w:ascii="宋体" w:hAnsi="宋体" w:eastAsia="宋体"/>
                <w:sz w:val="21"/>
              </w:rPr>
              <w:t>森林覆盖率</w:t>
            </w:r>
          </w:p>
        </w:tc>
        <w:tc>
          <w:tcPr>
            <w:tcW w:type="dxa" w:w="2551"/>
          </w:tcPr>
          <w:p>
            <w:pPr>
              <w:jc w:val="center"/>
            </w:pPr>
            <w:r/>
            <w:r>
              <w:rPr>
                <w:rFonts w:ascii="宋体" w:hAnsi="宋体" w:eastAsia="宋体"/>
                <w:sz w:val="21"/>
              </w:rPr>
              <w:t>反映生态资源禀赋</w:t>
            </w:r>
          </w:p>
        </w:tc>
        <w:tc>
          <w:tcPr>
            <w:tcW w:type="dxa" w:w="680"/>
          </w:tcPr>
          <w:p>
            <w:pPr>
              <w:jc w:val="center"/>
            </w:pPr>
            <w:r/>
            <w:r>
              <w:rPr>
                <w:rFonts w:ascii="宋体" w:hAnsi="宋体" w:eastAsia="宋体"/>
                <w:sz w:val="21"/>
              </w:rPr>
              <w:t>正向</w:t>
            </w:r>
          </w:p>
        </w:tc>
        <w:tc>
          <w:tcPr>
            <w:tcW w:type="dxa" w:w="624"/>
          </w:tcPr>
          <w:p>
            <w:pPr>
              <w:jc w:val="center"/>
            </w:pPr>
            <w:r/>
            <w:r>
              <w:rPr>
                <w:rFonts w:ascii="宋体" w:hAnsi="宋体" w:eastAsia="宋体"/>
                <w:sz w:val="21"/>
              </w:rPr>
              <w:t>0.0718</w:t>
            </w:r>
          </w:p>
        </w:tc>
      </w:tr>
      <w:tr>
        <w:tc>
          <w:tcPr>
            <w:tcW w:type="dxa" w:w="1134"/>
          </w:tcPr>
          <w:p>
            <w:pPr>
              <w:jc w:val="center"/>
            </w:pPr>
            <w:r/>
            <w:r>
              <w:rPr>
                <w:rFonts w:ascii="宋体" w:hAnsi="宋体" w:eastAsia="宋体"/>
                <w:sz w:val="21"/>
              </w:rPr>
              <w:t>资源与环境</w:t>
            </w:r>
          </w:p>
        </w:tc>
        <w:tc>
          <w:tcPr>
            <w:tcW w:type="dxa" w:w="1814"/>
          </w:tcPr>
          <w:p>
            <w:pPr>
              <w:jc w:val="center"/>
            </w:pPr>
            <w:r/>
            <w:r>
              <w:rPr>
                <w:rFonts w:ascii="宋体" w:hAnsi="宋体" w:eastAsia="宋体"/>
                <w:sz w:val="21"/>
              </w:rPr>
              <w:t>空气质量优良天数比例</w:t>
            </w:r>
          </w:p>
        </w:tc>
        <w:tc>
          <w:tcPr>
            <w:tcW w:type="dxa" w:w="2551"/>
          </w:tcPr>
          <w:p>
            <w:pPr>
              <w:jc w:val="center"/>
            </w:pPr>
            <w:r/>
            <w:r>
              <w:rPr>
                <w:rFonts w:ascii="宋体" w:hAnsi="宋体" w:eastAsia="宋体"/>
                <w:sz w:val="21"/>
              </w:rPr>
              <w:t>反映大气环境质量</w:t>
            </w:r>
          </w:p>
        </w:tc>
        <w:tc>
          <w:tcPr>
            <w:tcW w:type="dxa" w:w="680"/>
          </w:tcPr>
          <w:p>
            <w:pPr>
              <w:jc w:val="center"/>
            </w:pPr>
            <w:r/>
            <w:r>
              <w:rPr>
                <w:rFonts w:ascii="宋体" w:hAnsi="宋体" w:eastAsia="宋体"/>
                <w:sz w:val="21"/>
              </w:rPr>
              <w:t>正向</w:t>
            </w:r>
          </w:p>
        </w:tc>
        <w:tc>
          <w:tcPr>
            <w:tcW w:type="dxa" w:w="624"/>
          </w:tcPr>
          <w:p>
            <w:pPr>
              <w:jc w:val="center"/>
            </w:pPr>
            <w:r/>
            <w:r>
              <w:rPr>
                <w:rFonts w:ascii="宋体" w:hAnsi="宋体" w:eastAsia="宋体"/>
                <w:sz w:val="21"/>
              </w:rPr>
              <w:t>0.0774</w:t>
            </w:r>
          </w:p>
        </w:tc>
      </w:tr>
      <w:tr>
        <w:tc>
          <w:tcPr>
            <w:tcW w:type="dxa" w:w="1134"/>
          </w:tcPr>
          <w:p>
            <w:pPr>
              <w:jc w:val="center"/>
            </w:pPr>
            <w:r/>
            <w:r>
              <w:rPr>
                <w:rFonts w:ascii="宋体" w:hAnsi="宋体" w:eastAsia="宋体"/>
                <w:sz w:val="21"/>
              </w:rPr>
              <w:t>资源与环境</w:t>
            </w:r>
          </w:p>
        </w:tc>
        <w:tc>
          <w:tcPr>
            <w:tcW w:type="dxa" w:w="1814"/>
          </w:tcPr>
          <w:p>
            <w:pPr>
              <w:jc w:val="center"/>
            </w:pPr>
            <w:r/>
            <w:r>
              <w:rPr>
                <w:rFonts w:ascii="宋体" w:hAnsi="宋体" w:eastAsia="宋体"/>
                <w:sz w:val="21"/>
              </w:rPr>
              <w:t>环境污染治理投资占GDP比重</w:t>
            </w:r>
          </w:p>
        </w:tc>
        <w:tc>
          <w:tcPr>
            <w:tcW w:type="dxa" w:w="2551"/>
          </w:tcPr>
          <w:p>
            <w:pPr>
              <w:jc w:val="center"/>
            </w:pPr>
            <w:r/>
            <w:r>
              <w:rPr>
                <w:rFonts w:ascii="宋体" w:hAnsi="宋体" w:eastAsia="宋体"/>
                <w:sz w:val="21"/>
              </w:rPr>
              <w:t>反映环保投入力度</w:t>
            </w:r>
          </w:p>
        </w:tc>
        <w:tc>
          <w:tcPr>
            <w:tcW w:type="dxa" w:w="680"/>
          </w:tcPr>
          <w:p>
            <w:pPr>
              <w:jc w:val="center"/>
            </w:pPr>
            <w:r/>
            <w:r>
              <w:rPr>
                <w:rFonts w:ascii="宋体" w:hAnsi="宋体" w:eastAsia="宋体"/>
                <w:sz w:val="21"/>
              </w:rPr>
              <w:t>正向</w:t>
            </w:r>
          </w:p>
        </w:tc>
        <w:tc>
          <w:tcPr>
            <w:tcW w:type="dxa" w:w="624"/>
          </w:tcPr>
          <w:p>
            <w:pPr>
              <w:jc w:val="center"/>
            </w:pPr>
            <w:r/>
            <w:r>
              <w:rPr>
                <w:rFonts w:ascii="宋体" w:hAnsi="宋体" w:eastAsia="宋体"/>
                <w:sz w:val="21"/>
              </w:rPr>
              <w:t>0.1238</w:t>
            </w:r>
          </w:p>
        </w:tc>
      </w:tr>
    </w:tbl>
    <w:p/>
    <w:p>
      <w:pPr>
        <w:spacing w:line="480" w:lineRule="exact"/>
        <w:ind w:firstLine="480"/>
        <w:jc w:val="both"/>
      </w:pPr>
      <w:r>
        <w:rPr>
          <w:rFonts w:ascii="宋体" w:hAnsi="宋体" w:eastAsia="宋体"/>
          <w:sz w:val="24"/>
        </w:rPr>
        <w:t>数据来源方面，本文数据主要来自国家统计局《中国统计年鉴》（2019-2023）、《中国环境统计年鉴》以及各省（自治区、直辖市）统计年鉴，覆盖全国31个省级行政区（不含港澳台），时间跨度为2018-2022年，共获得155个有效观测值（31省×5年）。</w:t>
      </w:r>
    </w:p>
    <w:p>
      <w:pPr>
        <w:jc w:val="left"/>
      </w:pPr>
      <w:r>
        <w:rPr>
          <w:rFonts w:ascii="楷体" w:hAnsi="楷体" w:eastAsia="楷体"/>
          <w:b/>
          <w:sz w:val="28"/>
        </w:rPr>
        <w:t>（二）熵权法</w:t>
      </w:r>
    </w:p>
    <w:p>
      <w:pPr>
        <w:spacing w:line="480" w:lineRule="exact"/>
        <w:ind w:firstLine="480"/>
        <w:jc w:val="both"/>
      </w:pPr>
      <w:r>
        <w:rPr>
          <w:rFonts w:ascii="宋体" w:hAnsi="宋体" w:eastAsia="宋体"/>
          <w:sz w:val="24"/>
        </w:rPr>
        <w:t>熵权法是一种客观赋权方法，主要计算步骤如下：</w:t>
      </w:r>
    </w:p>
    <w:p>
      <w:pPr>
        <w:spacing w:line="480" w:lineRule="exact"/>
        <w:ind w:firstLine="480"/>
        <w:jc w:val="both"/>
      </w:pPr>
      <w:r>
        <w:rPr>
          <w:rFonts w:ascii="宋体" w:hAnsi="宋体" w:eastAsia="宋体"/>
          <w:sz w:val="24"/>
        </w:rPr>
        <w:t>Step 1：数据标准化——对原始指标数据进行极差标准化处理，消除量纲影响：</w:t>
      </w:r>
    </w:p>
    <w:p>
      <w:pPr>
        <w:jc w:val="center"/>
      </w:pPr>
      <w:r>
        <w:rPr>
          <w:rFonts w:ascii="Times New Roman" w:hAnsi="Times New Roman"/>
          <w:i/>
          <w:sz w:val="22"/>
        </w:rPr>
        <w:t>正向指标：X'ij = (Xij - min(Xj)) / (max(Xj) - min(Xj))</w:t>
      </w:r>
    </w:p>
    <w:p>
      <w:pPr>
        <w:jc w:val="center"/>
      </w:pPr>
      <w:r>
        <w:rPr>
          <w:rFonts w:ascii="Times New Roman" w:hAnsi="Times New Roman"/>
          <w:i/>
          <w:sz w:val="22"/>
        </w:rPr>
        <w:t>负向指标：X'ij = (max(Xj) - Xij) / (max(Xj) - min(Xj))</w:t>
      </w:r>
    </w:p>
    <w:p>
      <w:pPr>
        <w:spacing w:line="480" w:lineRule="exact"/>
        <w:ind w:firstLine="480"/>
        <w:jc w:val="both"/>
      </w:pPr>
      <w:r>
        <w:rPr>
          <w:rFonts w:ascii="宋体" w:hAnsi="宋体" w:eastAsia="宋体"/>
          <w:sz w:val="24"/>
        </w:rPr>
        <w:t>Step 2：计算指标比重：Pij = X'ij / Σi X'ij</w:t>
      </w:r>
    </w:p>
    <w:p>
      <w:pPr>
        <w:spacing w:line="480" w:lineRule="exact"/>
        <w:ind w:firstLine="480"/>
        <w:jc w:val="both"/>
      </w:pPr>
      <w:r>
        <w:rPr>
          <w:rFonts w:ascii="宋体" w:hAnsi="宋体" w:eastAsia="宋体"/>
          <w:sz w:val="24"/>
        </w:rPr>
        <w:t>Step 3：计算信息熵：ej = -k × Σi Pij × ln(Pij)，其中 k = 1/ln(n)，n为样本数</w:t>
      </w:r>
    </w:p>
    <w:p>
      <w:pPr>
        <w:spacing w:line="480" w:lineRule="exact"/>
        <w:ind w:firstLine="480"/>
        <w:jc w:val="both"/>
      </w:pPr>
      <w:r>
        <w:rPr>
          <w:rFonts w:ascii="宋体" w:hAnsi="宋体" w:eastAsia="宋体"/>
          <w:sz w:val="24"/>
        </w:rPr>
        <w:t>Step 4：计算差异系数与权重：gj = 1 - ej，wj = gj / Σj gj</w:t>
      </w:r>
    </w:p>
    <w:p>
      <w:pPr>
        <w:spacing w:line="480" w:lineRule="exact"/>
        <w:ind w:firstLine="480"/>
        <w:jc w:val="both"/>
      </w:pPr>
      <w:r>
        <w:rPr>
          <w:rFonts w:ascii="宋体" w:hAnsi="宋体" w:eastAsia="宋体"/>
          <w:sz w:val="24"/>
        </w:rPr>
        <w:t>通过上述步骤，本文计算的各指标权重结果详见"四、实证分析"部分。</w:t>
      </w:r>
    </w:p>
    <w:p>
      <w:pPr>
        <w:jc w:val="left"/>
      </w:pPr>
      <w:r>
        <w:rPr>
          <w:rFonts w:ascii="楷体" w:hAnsi="楷体" w:eastAsia="楷体"/>
          <w:b/>
          <w:sz w:val="28"/>
        </w:rPr>
        <w:t>（三）TOPSIS方法</w:t>
      </w:r>
    </w:p>
    <w:p>
      <w:pPr>
        <w:spacing w:line="480" w:lineRule="exact"/>
        <w:ind w:firstLine="480"/>
        <w:jc w:val="both"/>
      </w:pPr>
      <w:r>
        <w:rPr>
          <w:rFonts w:ascii="宋体" w:hAnsi="宋体" w:eastAsia="宋体"/>
          <w:sz w:val="24"/>
        </w:rPr>
        <w:t>TOPSIS方法的计算步骤为：Step 1构建加权标准化矩阵 Vij = wj × X'ij；Step 2确定正理想解 V⁺ 和负理想解 V⁻；Step 3计算各评价对象与正、负理想解的距离 D⁺i = √[Σj(Vij - V⁺j)²]、D⁻i = √[Σj(Vij - V⁻j)²]；Step 4计算相对接近度（综合得分）Si = D⁻i / (D⁺i + D⁻i)。Si越接近1，表明该省份绿色发展水平越接近最优状态。</w:t>
      </w:r>
    </w:p>
    <w:p>
      <w:pPr>
        <w:jc w:val="left"/>
      </w:pPr>
      <w:r>
        <w:rPr>
          <w:rFonts w:ascii="楷体" w:hAnsi="楷体" w:eastAsia="楷体"/>
          <w:b/>
          <w:sz w:val="28"/>
        </w:rPr>
        <w:t>（四）耦合协调度模型</w:t>
      </w:r>
    </w:p>
    <w:p>
      <w:pPr>
        <w:spacing w:line="480" w:lineRule="exact"/>
        <w:ind w:firstLine="480"/>
        <w:jc w:val="both"/>
      </w:pPr>
      <w:r>
        <w:rPr>
          <w:rFonts w:ascii="宋体" w:hAnsi="宋体" w:eastAsia="宋体"/>
          <w:sz w:val="24"/>
        </w:rPr>
        <w:t>为分析经济子系统与环境子系统之间的协调发展状况，本文引入耦合协调度模型。将绿色发展评价体系中的国民经济和科技指标归为经济子系统（用U₁表示），将能源、资源与环境指标归为环境子系统（用U₂表示）。</w:t>
      </w:r>
    </w:p>
    <w:p>
      <w:pPr>
        <w:spacing w:line="480" w:lineRule="exact"/>
        <w:ind w:firstLine="480"/>
        <w:jc w:val="both"/>
      </w:pPr>
      <w:r>
        <w:rPr>
          <w:rFonts w:ascii="宋体" w:hAnsi="宋体" w:eastAsia="宋体"/>
          <w:sz w:val="24"/>
        </w:rPr>
        <w:t>耦合度：C = 2 × √[(U₁ × U₂) / (U₁ + U₂)²]</w:t>
      </w:r>
    </w:p>
    <w:p>
      <w:pPr>
        <w:spacing w:line="480" w:lineRule="exact"/>
        <w:ind w:firstLine="480"/>
        <w:jc w:val="both"/>
      </w:pPr>
      <w:r>
        <w:rPr>
          <w:rFonts w:ascii="宋体" w:hAnsi="宋体" w:eastAsia="宋体"/>
          <w:sz w:val="24"/>
        </w:rPr>
        <w:t>协调发展指数：T = α × U₁ + β × U₂（本文取α=β=0.5，等权重处理）</w:t>
      </w:r>
    </w:p>
    <w:p>
      <w:pPr>
        <w:spacing w:line="480" w:lineRule="exact"/>
        <w:ind w:firstLine="480"/>
        <w:jc w:val="both"/>
      </w:pPr>
      <w:r>
        <w:rPr>
          <w:rFonts w:ascii="宋体" w:hAnsi="宋体" w:eastAsia="宋体"/>
          <w:sz w:val="24"/>
        </w:rPr>
        <w:t>耦合协调度：D = √(C × T)</w:t>
      </w:r>
    </w:p>
    <w:p>
      <w:pPr>
        <w:spacing w:line="480" w:lineRule="exact"/>
        <w:ind w:firstLine="480"/>
        <w:jc w:val="both"/>
      </w:pPr>
      <w:r>
        <w:rPr>
          <w:rFonts w:ascii="宋体" w:hAnsi="宋体" w:eastAsia="宋体"/>
          <w:sz w:val="24"/>
        </w:rPr>
        <w:t>耦合协调等级划分为：严重失调（[0.0,0.3)）、轻度失调（[0.3,0.4)）、勉强协调（[0.4,0.5)）、初级协调（[0.5,0.6)）、中度协调（[0.6,0.7)）、良好协调（[0.7,0.8)）、优质协调（[0.8,1.0]）。</w:t>
      </w:r>
    </w:p>
    <w:p>
      <w:pPr>
        <w:jc w:val="left"/>
      </w:pPr>
      <w:r>
        <w:rPr>
          <w:rFonts w:ascii="黑体" w:hAnsi="黑体" w:eastAsia="黑体"/>
          <w:b/>
          <w:sz w:val="30"/>
        </w:rPr>
        <w:t>四、实证分析结果</w:t>
      </w:r>
    </w:p>
    <w:p>
      <w:pPr>
        <w:jc w:val="left"/>
      </w:pPr>
      <w:r>
        <w:rPr>
          <w:rFonts w:ascii="楷体" w:hAnsi="楷体" w:eastAsia="楷体"/>
          <w:b/>
          <w:sz w:val="28"/>
        </w:rPr>
        <w:t>（一）熵权法权重结果</w:t>
      </w:r>
    </w:p>
    <w:p>
      <w:pPr>
        <w:spacing w:line="480" w:lineRule="exact"/>
        <w:ind w:firstLine="480"/>
        <w:jc w:val="both"/>
      </w:pPr>
      <w:r>
        <w:rPr>
          <w:rFonts w:ascii="宋体" w:hAnsi="宋体" w:eastAsia="宋体"/>
          <w:sz w:val="24"/>
        </w:rPr>
        <w:t>基于2018-2022年31个省份的面板数据，运用熵权法计算的各指标权重结果见表2。</w:t>
      </w:r>
    </w:p>
    <w:p>
      <w:pPr>
        <w:jc w:val="center"/>
      </w:pPr>
      <w:r>
        <w:rPr>
          <w:rFonts w:ascii="黑体" w:hAnsi="黑体" w:eastAsia="黑体"/>
          <w:b/>
          <w:sz w:val="21"/>
        </w:rPr>
        <w:t>表2  熵权法权重计算结果</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814"/>
          </w:tcPr>
          <w:p>
            <w:pPr>
              <w:jc w:val="center"/>
            </w:pPr>
            <w:r/>
            <w:r>
              <w:rPr>
                <w:rFonts w:ascii="黑体" w:hAnsi="黑体" w:eastAsia="黑体"/>
                <w:b/>
                <w:sz w:val="21"/>
              </w:rPr>
              <w:t>指标</w:t>
            </w:r>
          </w:p>
        </w:tc>
        <w:tc>
          <w:tcPr>
            <w:tcW w:type="dxa" w:w="1417"/>
          </w:tcPr>
          <w:p>
            <w:pPr>
              <w:jc w:val="center"/>
            </w:pPr>
            <w:r/>
            <w:r>
              <w:rPr>
                <w:rFonts w:ascii="黑体" w:hAnsi="黑体" w:eastAsia="黑体"/>
                <w:b/>
                <w:sz w:val="21"/>
              </w:rPr>
              <w:t>信息熵</w:t>
            </w:r>
          </w:p>
        </w:tc>
        <w:tc>
          <w:tcPr>
            <w:tcW w:type="dxa" w:w="1417"/>
          </w:tcPr>
          <w:p>
            <w:pPr>
              <w:jc w:val="center"/>
            </w:pPr>
            <w:r/>
            <w:r>
              <w:rPr>
                <w:rFonts w:ascii="黑体" w:hAnsi="黑体" w:eastAsia="黑体"/>
                <w:b/>
                <w:sz w:val="21"/>
              </w:rPr>
              <w:t>差异系数</w:t>
            </w:r>
          </w:p>
        </w:tc>
        <w:tc>
          <w:tcPr>
            <w:tcW w:type="dxa" w:w="1247"/>
          </w:tcPr>
          <w:p>
            <w:pPr>
              <w:jc w:val="center"/>
            </w:pPr>
            <w:r/>
            <w:r>
              <w:rPr>
                <w:rFonts w:ascii="黑体" w:hAnsi="黑体" w:eastAsia="黑体"/>
                <w:b/>
                <w:sz w:val="21"/>
              </w:rPr>
              <w:t>权重</w:t>
            </w:r>
          </w:p>
        </w:tc>
        <w:tc>
          <w:tcPr>
            <w:tcW w:type="dxa" w:w="907"/>
          </w:tcPr>
          <w:p>
            <w:pPr>
              <w:jc w:val="center"/>
            </w:pPr>
            <w:r/>
            <w:r>
              <w:rPr>
                <w:rFonts w:ascii="黑体" w:hAnsi="黑体" w:eastAsia="黑体"/>
                <w:b/>
                <w:sz w:val="21"/>
              </w:rPr>
              <w:t>排序</w:t>
            </w:r>
          </w:p>
        </w:tc>
      </w:tr>
      <w:tr>
        <w:tc>
          <w:tcPr>
            <w:tcW w:type="dxa" w:w="1814"/>
          </w:tcPr>
          <w:p>
            <w:pPr>
              <w:jc w:val="center"/>
            </w:pPr>
            <w:r/>
            <w:r>
              <w:rPr>
                <w:rFonts w:ascii="宋体" w:hAnsi="宋体" w:eastAsia="宋体"/>
                <w:sz w:val="21"/>
              </w:rPr>
              <w:t>污水处理率</w:t>
            </w:r>
          </w:p>
        </w:tc>
        <w:tc>
          <w:tcPr>
            <w:tcW w:type="dxa" w:w="1417"/>
          </w:tcPr>
          <w:p>
            <w:pPr>
              <w:jc w:val="center"/>
            </w:pPr>
            <w:r/>
            <w:r>
              <w:rPr>
                <w:rFonts w:ascii="宋体" w:hAnsi="宋体" w:eastAsia="宋体"/>
                <w:sz w:val="21"/>
              </w:rPr>
              <w:t>0.9734</w:t>
            </w:r>
          </w:p>
        </w:tc>
        <w:tc>
          <w:tcPr>
            <w:tcW w:type="dxa" w:w="1417"/>
          </w:tcPr>
          <w:p>
            <w:pPr>
              <w:jc w:val="center"/>
            </w:pPr>
            <w:r/>
            <w:r>
              <w:rPr>
                <w:rFonts w:ascii="宋体" w:hAnsi="宋体" w:eastAsia="宋体"/>
                <w:sz w:val="21"/>
              </w:rPr>
              <w:t>0.0266</w:t>
            </w:r>
          </w:p>
        </w:tc>
        <w:tc>
          <w:tcPr>
            <w:tcW w:type="dxa" w:w="1247"/>
          </w:tcPr>
          <w:p>
            <w:pPr>
              <w:jc w:val="center"/>
            </w:pPr>
            <w:r/>
            <w:r>
              <w:rPr>
                <w:rFonts w:ascii="宋体" w:hAnsi="宋体" w:eastAsia="宋体"/>
                <w:sz w:val="21"/>
              </w:rPr>
              <w:t>0.1422</w:t>
            </w:r>
          </w:p>
        </w:tc>
        <w:tc>
          <w:tcPr>
            <w:tcW w:type="dxa" w:w="907"/>
          </w:tcPr>
          <w:p>
            <w:pPr>
              <w:jc w:val="center"/>
            </w:pPr>
            <w:r/>
            <w:r>
              <w:rPr>
                <w:rFonts w:ascii="宋体" w:hAnsi="宋体" w:eastAsia="宋体"/>
                <w:sz w:val="21"/>
              </w:rPr>
              <w:t>1</w:t>
            </w:r>
          </w:p>
        </w:tc>
      </w:tr>
      <w:tr>
        <w:tc>
          <w:tcPr>
            <w:tcW w:type="dxa" w:w="1814"/>
          </w:tcPr>
          <w:p>
            <w:pPr>
              <w:jc w:val="center"/>
            </w:pPr>
            <w:r/>
            <w:r>
              <w:rPr>
                <w:rFonts w:ascii="宋体" w:hAnsi="宋体" w:eastAsia="宋体"/>
                <w:sz w:val="21"/>
              </w:rPr>
              <w:t>环保投资占比</w:t>
            </w:r>
          </w:p>
        </w:tc>
        <w:tc>
          <w:tcPr>
            <w:tcW w:type="dxa" w:w="1417"/>
          </w:tcPr>
          <w:p>
            <w:pPr>
              <w:jc w:val="center"/>
            </w:pPr>
            <w:r/>
            <w:r>
              <w:rPr>
                <w:rFonts w:ascii="宋体" w:hAnsi="宋体" w:eastAsia="宋体"/>
                <w:sz w:val="21"/>
              </w:rPr>
              <w:t>0.9768</w:t>
            </w:r>
          </w:p>
        </w:tc>
        <w:tc>
          <w:tcPr>
            <w:tcW w:type="dxa" w:w="1417"/>
          </w:tcPr>
          <w:p>
            <w:pPr>
              <w:jc w:val="center"/>
            </w:pPr>
            <w:r/>
            <w:r>
              <w:rPr>
                <w:rFonts w:ascii="宋体" w:hAnsi="宋体" w:eastAsia="宋体"/>
                <w:sz w:val="21"/>
              </w:rPr>
              <w:t>0.0232</w:t>
            </w:r>
          </w:p>
        </w:tc>
        <w:tc>
          <w:tcPr>
            <w:tcW w:type="dxa" w:w="1247"/>
          </w:tcPr>
          <w:p>
            <w:pPr>
              <w:jc w:val="center"/>
            </w:pPr>
            <w:r/>
            <w:r>
              <w:rPr>
                <w:rFonts w:ascii="宋体" w:hAnsi="宋体" w:eastAsia="宋体"/>
                <w:sz w:val="21"/>
              </w:rPr>
              <w:t>0.1238</w:t>
            </w:r>
          </w:p>
        </w:tc>
        <w:tc>
          <w:tcPr>
            <w:tcW w:type="dxa" w:w="907"/>
          </w:tcPr>
          <w:p>
            <w:pPr>
              <w:jc w:val="center"/>
            </w:pPr>
            <w:r/>
            <w:r>
              <w:rPr>
                <w:rFonts w:ascii="宋体" w:hAnsi="宋体" w:eastAsia="宋体"/>
                <w:sz w:val="21"/>
              </w:rPr>
              <w:t>2</w:t>
            </w:r>
          </w:p>
        </w:tc>
      </w:tr>
      <w:tr>
        <w:tc>
          <w:tcPr>
            <w:tcW w:type="dxa" w:w="1814"/>
          </w:tcPr>
          <w:p>
            <w:pPr>
              <w:jc w:val="center"/>
            </w:pPr>
            <w:r/>
            <w:r>
              <w:rPr>
                <w:rFonts w:ascii="宋体" w:hAnsi="宋体" w:eastAsia="宋体"/>
                <w:sz w:val="21"/>
              </w:rPr>
              <w:t>R&amp;D占比</w:t>
            </w:r>
          </w:p>
        </w:tc>
        <w:tc>
          <w:tcPr>
            <w:tcW w:type="dxa" w:w="1417"/>
          </w:tcPr>
          <w:p>
            <w:pPr>
              <w:jc w:val="center"/>
            </w:pPr>
            <w:r/>
            <w:r>
              <w:rPr>
                <w:rFonts w:ascii="宋体" w:hAnsi="宋体" w:eastAsia="宋体"/>
                <w:sz w:val="21"/>
              </w:rPr>
              <w:t>0.9778</w:t>
            </w:r>
          </w:p>
        </w:tc>
        <w:tc>
          <w:tcPr>
            <w:tcW w:type="dxa" w:w="1417"/>
          </w:tcPr>
          <w:p>
            <w:pPr>
              <w:jc w:val="center"/>
            </w:pPr>
            <w:r/>
            <w:r>
              <w:rPr>
                <w:rFonts w:ascii="宋体" w:hAnsi="宋体" w:eastAsia="宋体"/>
                <w:sz w:val="21"/>
              </w:rPr>
              <w:t>0.0222</w:t>
            </w:r>
          </w:p>
        </w:tc>
        <w:tc>
          <w:tcPr>
            <w:tcW w:type="dxa" w:w="1247"/>
          </w:tcPr>
          <w:p>
            <w:pPr>
              <w:jc w:val="center"/>
            </w:pPr>
            <w:r/>
            <w:r>
              <w:rPr>
                <w:rFonts w:ascii="宋体" w:hAnsi="宋体" w:eastAsia="宋体"/>
                <w:sz w:val="21"/>
              </w:rPr>
              <w:t>0.1182</w:t>
            </w:r>
          </w:p>
        </w:tc>
        <w:tc>
          <w:tcPr>
            <w:tcW w:type="dxa" w:w="907"/>
          </w:tcPr>
          <w:p>
            <w:pPr>
              <w:jc w:val="center"/>
            </w:pPr>
            <w:r/>
            <w:r>
              <w:rPr>
                <w:rFonts w:ascii="宋体" w:hAnsi="宋体" w:eastAsia="宋体"/>
                <w:sz w:val="21"/>
              </w:rPr>
              <w:t>3</w:t>
            </w:r>
          </w:p>
        </w:tc>
      </w:tr>
      <w:tr>
        <w:tc>
          <w:tcPr>
            <w:tcW w:type="dxa" w:w="1814"/>
          </w:tcPr>
          <w:p>
            <w:pPr>
              <w:jc w:val="center"/>
            </w:pPr>
            <w:r/>
            <w:r>
              <w:rPr>
                <w:rFonts w:ascii="宋体" w:hAnsi="宋体" w:eastAsia="宋体"/>
                <w:sz w:val="21"/>
              </w:rPr>
              <w:t>人均GDP</w:t>
            </w:r>
          </w:p>
        </w:tc>
        <w:tc>
          <w:tcPr>
            <w:tcW w:type="dxa" w:w="1417"/>
          </w:tcPr>
          <w:p>
            <w:pPr>
              <w:jc w:val="center"/>
            </w:pPr>
            <w:r/>
            <w:r>
              <w:rPr>
                <w:rFonts w:ascii="宋体" w:hAnsi="宋体" w:eastAsia="宋体"/>
                <w:sz w:val="21"/>
              </w:rPr>
              <w:t>0.9780</w:t>
            </w:r>
          </w:p>
        </w:tc>
        <w:tc>
          <w:tcPr>
            <w:tcW w:type="dxa" w:w="1417"/>
          </w:tcPr>
          <w:p>
            <w:pPr>
              <w:jc w:val="center"/>
            </w:pPr>
            <w:r/>
            <w:r>
              <w:rPr>
                <w:rFonts w:ascii="宋体" w:hAnsi="宋体" w:eastAsia="宋体"/>
                <w:sz w:val="21"/>
              </w:rPr>
              <w:t>0.0220</w:t>
            </w:r>
          </w:p>
        </w:tc>
        <w:tc>
          <w:tcPr>
            <w:tcW w:type="dxa" w:w="1247"/>
          </w:tcPr>
          <w:p>
            <w:pPr>
              <w:jc w:val="center"/>
            </w:pPr>
            <w:r/>
            <w:r>
              <w:rPr>
                <w:rFonts w:ascii="宋体" w:hAnsi="宋体" w:eastAsia="宋体"/>
                <w:sz w:val="21"/>
              </w:rPr>
              <w:t>0.1174</w:t>
            </w:r>
          </w:p>
        </w:tc>
        <w:tc>
          <w:tcPr>
            <w:tcW w:type="dxa" w:w="907"/>
          </w:tcPr>
          <w:p>
            <w:pPr>
              <w:jc w:val="center"/>
            </w:pPr>
            <w:r/>
            <w:r>
              <w:rPr>
                <w:rFonts w:ascii="宋体" w:hAnsi="宋体" w:eastAsia="宋体"/>
                <w:sz w:val="21"/>
              </w:rPr>
              <w:t>4</w:t>
            </w:r>
          </w:p>
        </w:tc>
      </w:tr>
      <w:tr>
        <w:tc>
          <w:tcPr>
            <w:tcW w:type="dxa" w:w="1814"/>
          </w:tcPr>
          <w:p>
            <w:pPr>
              <w:jc w:val="center"/>
            </w:pPr>
            <w:r/>
            <w:r>
              <w:rPr>
                <w:rFonts w:ascii="宋体" w:hAnsi="宋体" w:eastAsia="宋体"/>
                <w:sz w:val="21"/>
              </w:rPr>
              <w:t>第三产业占比</w:t>
            </w:r>
          </w:p>
        </w:tc>
        <w:tc>
          <w:tcPr>
            <w:tcW w:type="dxa" w:w="1417"/>
          </w:tcPr>
          <w:p>
            <w:pPr>
              <w:jc w:val="center"/>
            </w:pPr>
            <w:r/>
            <w:r>
              <w:rPr>
                <w:rFonts w:ascii="宋体" w:hAnsi="宋体" w:eastAsia="宋体"/>
                <w:sz w:val="21"/>
              </w:rPr>
              <w:t>0.9797</w:t>
            </w:r>
          </w:p>
        </w:tc>
        <w:tc>
          <w:tcPr>
            <w:tcW w:type="dxa" w:w="1417"/>
          </w:tcPr>
          <w:p>
            <w:pPr>
              <w:jc w:val="center"/>
            </w:pPr>
            <w:r/>
            <w:r>
              <w:rPr>
                <w:rFonts w:ascii="宋体" w:hAnsi="宋体" w:eastAsia="宋体"/>
                <w:sz w:val="21"/>
              </w:rPr>
              <w:t>0.0203</w:t>
            </w:r>
          </w:p>
        </w:tc>
        <w:tc>
          <w:tcPr>
            <w:tcW w:type="dxa" w:w="1247"/>
          </w:tcPr>
          <w:p>
            <w:pPr>
              <w:jc w:val="center"/>
            </w:pPr>
            <w:r/>
            <w:r>
              <w:rPr>
                <w:rFonts w:ascii="宋体" w:hAnsi="宋体" w:eastAsia="宋体"/>
                <w:sz w:val="21"/>
              </w:rPr>
              <w:t>0.1083</w:t>
            </w:r>
          </w:p>
        </w:tc>
        <w:tc>
          <w:tcPr>
            <w:tcW w:type="dxa" w:w="907"/>
          </w:tcPr>
          <w:p>
            <w:pPr>
              <w:jc w:val="center"/>
            </w:pPr>
            <w:r/>
            <w:r>
              <w:rPr>
                <w:rFonts w:ascii="宋体" w:hAnsi="宋体" w:eastAsia="宋体"/>
                <w:sz w:val="21"/>
              </w:rPr>
              <w:t>5</w:t>
            </w:r>
          </w:p>
        </w:tc>
      </w:tr>
      <w:tr>
        <w:tc>
          <w:tcPr>
            <w:tcW w:type="dxa" w:w="1814"/>
          </w:tcPr>
          <w:p>
            <w:pPr>
              <w:jc w:val="center"/>
            </w:pPr>
            <w:r/>
            <w:r>
              <w:rPr>
                <w:rFonts w:ascii="宋体" w:hAnsi="宋体" w:eastAsia="宋体"/>
                <w:sz w:val="21"/>
              </w:rPr>
              <w:t>单位GDP能耗</w:t>
            </w:r>
          </w:p>
        </w:tc>
        <w:tc>
          <w:tcPr>
            <w:tcW w:type="dxa" w:w="1417"/>
          </w:tcPr>
          <w:p>
            <w:pPr>
              <w:jc w:val="center"/>
            </w:pPr>
            <w:r/>
            <w:r>
              <w:rPr>
                <w:rFonts w:ascii="宋体" w:hAnsi="宋体" w:eastAsia="宋体"/>
                <w:sz w:val="21"/>
              </w:rPr>
              <w:t>0.9837</w:t>
            </w:r>
          </w:p>
        </w:tc>
        <w:tc>
          <w:tcPr>
            <w:tcW w:type="dxa" w:w="1417"/>
          </w:tcPr>
          <w:p>
            <w:pPr>
              <w:jc w:val="center"/>
            </w:pPr>
            <w:r/>
            <w:r>
              <w:rPr>
                <w:rFonts w:ascii="宋体" w:hAnsi="宋体" w:eastAsia="宋体"/>
                <w:sz w:val="21"/>
              </w:rPr>
              <w:t>0.0163</w:t>
            </w:r>
          </w:p>
        </w:tc>
        <w:tc>
          <w:tcPr>
            <w:tcW w:type="dxa" w:w="1247"/>
          </w:tcPr>
          <w:p>
            <w:pPr>
              <w:jc w:val="center"/>
            </w:pPr>
            <w:r/>
            <w:r>
              <w:rPr>
                <w:rFonts w:ascii="宋体" w:hAnsi="宋体" w:eastAsia="宋体"/>
                <w:sz w:val="21"/>
              </w:rPr>
              <w:t>0.0872</w:t>
            </w:r>
          </w:p>
        </w:tc>
        <w:tc>
          <w:tcPr>
            <w:tcW w:type="dxa" w:w="907"/>
          </w:tcPr>
          <w:p>
            <w:pPr>
              <w:jc w:val="center"/>
            </w:pPr>
            <w:r/>
            <w:r>
              <w:rPr>
                <w:rFonts w:ascii="宋体" w:hAnsi="宋体" w:eastAsia="宋体"/>
                <w:sz w:val="21"/>
              </w:rPr>
              <w:t>6</w:t>
            </w:r>
          </w:p>
        </w:tc>
      </w:tr>
      <w:tr>
        <w:tc>
          <w:tcPr>
            <w:tcW w:type="dxa" w:w="1814"/>
          </w:tcPr>
          <w:p>
            <w:pPr>
              <w:jc w:val="center"/>
            </w:pPr>
            <w:r/>
            <w:r>
              <w:rPr>
                <w:rFonts w:ascii="宋体" w:hAnsi="宋体" w:eastAsia="宋体"/>
                <w:sz w:val="21"/>
              </w:rPr>
              <w:t>垃圾处理率</w:t>
            </w:r>
          </w:p>
        </w:tc>
        <w:tc>
          <w:tcPr>
            <w:tcW w:type="dxa" w:w="1417"/>
          </w:tcPr>
          <w:p>
            <w:pPr>
              <w:jc w:val="center"/>
            </w:pPr>
            <w:r/>
            <w:r>
              <w:rPr>
                <w:rFonts w:ascii="宋体" w:hAnsi="宋体" w:eastAsia="宋体"/>
                <w:sz w:val="21"/>
              </w:rPr>
              <w:t>0.9854</w:t>
            </w:r>
          </w:p>
        </w:tc>
        <w:tc>
          <w:tcPr>
            <w:tcW w:type="dxa" w:w="1417"/>
          </w:tcPr>
          <w:p>
            <w:pPr>
              <w:jc w:val="center"/>
            </w:pPr>
            <w:r/>
            <w:r>
              <w:rPr>
                <w:rFonts w:ascii="宋体" w:hAnsi="宋体" w:eastAsia="宋体"/>
                <w:sz w:val="21"/>
              </w:rPr>
              <w:t>0.0146</w:t>
            </w:r>
          </w:p>
        </w:tc>
        <w:tc>
          <w:tcPr>
            <w:tcW w:type="dxa" w:w="1247"/>
          </w:tcPr>
          <w:p>
            <w:pPr>
              <w:jc w:val="center"/>
            </w:pPr>
            <w:r/>
            <w:r>
              <w:rPr>
                <w:rFonts w:ascii="宋体" w:hAnsi="宋体" w:eastAsia="宋体"/>
                <w:sz w:val="21"/>
              </w:rPr>
              <w:t>0.0778</w:t>
            </w:r>
          </w:p>
        </w:tc>
        <w:tc>
          <w:tcPr>
            <w:tcW w:type="dxa" w:w="907"/>
          </w:tcPr>
          <w:p>
            <w:pPr>
              <w:jc w:val="center"/>
            </w:pPr>
            <w:r/>
            <w:r>
              <w:rPr>
                <w:rFonts w:ascii="宋体" w:hAnsi="宋体" w:eastAsia="宋体"/>
                <w:sz w:val="21"/>
              </w:rPr>
              <w:t>7</w:t>
            </w:r>
          </w:p>
        </w:tc>
      </w:tr>
      <w:tr>
        <w:tc>
          <w:tcPr>
            <w:tcW w:type="dxa" w:w="1814"/>
          </w:tcPr>
          <w:p>
            <w:pPr>
              <w:jc w:val="center"/>
            </w:pPr>
            <w:r/>
            <w:r>
              <w:rPr>
                <w:rFonts w:ascii="宋体" w:hAnsi="宋体" w:eastAsia="宋体"/>
                <w:sz w:val="21"/>
              </w:rPr>
              <w:t>优良天数比例</w:t>
            </w:r>
          </w:p>
        </w:tc>
        <w:tc>
          <w:tcPr>
            <w:tcW w:type="dxa" w:w="1417"/>
          </w:tcPr>
          <w:p>
            <w:pPr>
              <w:jc w:val="center"/>
            </w:pPr>
            <w:r/>
            <w:r>
              <w:rPr>
                <w:rFonts w:ascii="宋体" w:hAnsi="宋体" w:eastAsia="宋体"/>
                <w:sz w:val="21"/>
              </w:rPr>
              <w:t>0.9855</w:t>
            </w:r>
          </w:p>
        </w:tc>
        <w:tc>
          <w:tcPr>
            <w:tcW w:type="dxa" w:w="1417"/>
          </w:tcPr>
          <w:p>
            <w:pPr>
              <w:jc w:val="center"/>
            </w:pPr>
            <w:r/>
            <w:r>
              <w:rPr>
                <w:rFonts w:ascii="宋体" w:hAnsi="宋体" w:eastAsia="宋体"/>
                <w:sz w:val="21"/>
              </w:rPr>
              <w:t>0.0145</w:t>
            </w:r>
          </w:p>
        </w:tc>
        <w:tc>
          <w:tcPr>
            <w:tcW w:type="dxa" w:w="1247"/>
          </w:tcPr>
          <w:p>
            <w:pPr>
              <w:jc w:val="center"/>
            </w:pPr>
            <w:r/>
            <w:r>
              <w:rPr>
                <w:rFonts w:ascii="宋体" w:hAnsi="宋体" w:eastAsia="宋体"/>
                <w:sz w:val="21"/>
              </w:rPr>
              <w:t>0.0774</w:t>
            </w:r>
          </w:p>
        </w:tc>
        <w:tc>
          <w:tcPr>
            <w:tcW w:type="dxa" w:w="907"/>
          </w:tcPr>
          <w:p>
            <w:pPr>
              <w:jc w:val="center"/>
            </w:pPr>
            <w:r/>
            <w:r>
              <w:rPr>
                <w:rFonts w:ascii="宋体" w:hAnsi="宋体" w:eastAsia="宋体"/>
                <w:sz w:val="21"/>
              </w:rPr>
              <w:t>8</w:t>
            </w:r>
          </w:p>
        </w:tc>
      </w:tr>
      <w:tr>
        <w:tc>
          <w:tcPr>
            <w:tcW w:type="dxa" w:w="1814"/>
          </w:tcPr>
          <w:p>
            <w:pPr>
              <w:jc w:val="center"/>
            </w:pPr>
            <w:r/>
            <w:r>
              <w:rPr>
                <w:rFonts w:ascii="宋体" w:hAnsi="宋体" w:eastAsia="宋体"/>
                <w:sz w:val="21"/>
              </w:rPr>
              <w:t>单位GDP水耗</w:t>
            </w:r>
          </w:p>
        </w:tc>
        <w:tc>
          <w:tcPr>
            <w:tcW w:type="dxa" w:w="1417"/>
          </w:tcPr>
          <w:p>
            <w:pPr>
              <w:jc w:val="center"/>
            </w:pPr>
            <w:r/>
            <w:r>
              <w:rPr>
                <w:rFonts w:ascii="宋体" w:hAnsi="宋体" w:eastAsia="宋体"/>
                <w:sz w:val="21"/>
              </w:rPr>
              <w:t>0.9858</w:t>
            </w:r>
          </w:p>
        </w:tc>
        <w:tc>
          <w:tcPr>
            <w:tcW w:type="dxa" w:w="1417"/>
          </w:tcPr>
          <w:p>
            <w:pPr>
              <w:jc w:val="center"/>
            </w:pPr>
            <w:r/>
            <w:r>
              <w:rPr>
                <w:rFonts w:ascii="宋体" w:hAnsi="宋体" w:eastAsia="宋体"/>
                <w:sz w:val="21"/>
              </w:rPr>
              <w:t>0.0142</w:t>
            </w:r>
          </w:p>
        </w:tc>
        <w:tc>
          <w:tcPr>
            <w:tcW w:type="dxa" w:w="1247"/>
          </w:tcPr>
          <w:p>
            <w:pPr>
              <w:jc w:val="center"/>
            </w:pPr>
            <w:r/>
            <w:r>
              <w:rPr>
                <w:rFonts w:ascii="宋体" w:hAnsi="宋体" w:eastAsia="宋体"/>
                <w:sz w:val="21"/>
              </w:rPr>
              <w:t>0.0759</w:t>
            </w:r>
          </w:p>
        </w:tc>
        <w:tc>
          <w:tcPr>
            <w:tcW w:type="dxa" w:w="907"/>
          </w:tcPr>
          <w:p>
            <w:pPr>
              <w:jc w:val="center"/>
            </w:pPr>
            <w:r/>
            <w:r>
              <w:rPr>
                <w:rFonts w:ascii="宋体" w:hAnsi="宋体" w:eastAsia="宋体"/>
                <w:sz w:val="21"/>
              </w:rPr>
              <w:t>9</w:t>
            </w:r>
          </w:p>
        </w:tc>
      </w:tr>
      <w:tr>
        <w:tc>
          <w:tcPr>
            <w:tcW w:type="dxa" w:w="1814"/>
          </w:tcPr>
          <w:p>
            <w:pPr>
              <w:jc w:val="center"/>
            </w:pPr>
            <w:r/>
            <w:r>
              <w:rPr>
                <w:rFonts w:ascii="宋体" w:hAnsi="宋体" w:eastAsia="宋体"/>
                <w:sz w:val="21"/>
              </w:rPr>
              <w:t>森林覆盖率</w:t>
            </w:r>
          </w:p>
        </w:tc>
        <w:tc>
          <w:tcPr>
            <w:tcW w:type="dxa" w:w="1417"/>
          </w:tcPr>
          <w:p>
            <w:pPr>
              <w:jc w:val="center"/>
            </w:pPr>
            <w:r/>
            <w:r>
              <w:rPr>
                <w:rFonts w:ascii="宋体" w:hAnsi="宋体" w:eastAsia="宋体"/>
                <w:sz w:val="21"/>
              </w:rPr>
              <w:t>0.9865</w:t>
            </w:r>
          </w:p>
        </w:tc>
        <w:tc>
          <w:tcPr>
            <w:tcW w:type="dxa" w:w="1417"/>
          </w:tcPr>
          <w:p>
            <w:pPr>
              <w:jc w:val="center"/>
            </w:pPr>
            <w:r/>
            <w:r>
              <w:rPr>
                <w:rFonts w:ascii="宋体" w:hAnsi="宋体" w:eastAsia="宋体"/>
                <w:sz w:val="21"/>
              </w:rPr>
              <w:t>0.0135</w:t>
            </w:r>
          </w:p>
        </w:tc>
        <w:tc>
          <w:tcPr>
            <w:tcW w:type="dxa" w:w="1247"/>
          </w:tcPr>
          <w:p>
            <w:pPr>
              <w:jc w:val="center"/>
            </w:pPr>
            <w:r/>
            <w:r>
              <w:rPr>
                <w:rFonts w:ascii="宋体" w:hAnsi="宋体" w:eastAsia="宋体"/>
                <w:sz w:val="21"/>
              </w:rPr>
              <w:t>0.0718</w:t>
            </w:r>
          </w:p>
        </w:tc>
        <w:tc>
          <w:tcPr>
            <w:tcW w:type="dxa" w:w="907"/>
          </w:tcPr>
          <w:p>
            <w:pPr>
              <w:jc w:val="center"/>
            </w:pPr>
            <w:r/>
            <w:r>
              <w:rPr>
                <w:rFonts w:ascii="宋体" w:hAnsi="宋体" w:eastAsia="宋体"/>
                <w:sz w:val="21"/>
              </w:rPr>
              <w:t>10</w:t>
            </w:r>
          </w:p>
        </w:tc>
      </w:tr>
    </w:tbl>
    <w:p/>
    <w:p>
      <w:pPr>
        <w:spacing w:line="480" w:lineRule="exact"/>
        <w:ind w:firstLine="480"/>
        <w:jc w:val="both"/>
      </w:pPr>
      <w:r>
        <w:rPr>
          <w:rFonts w:ascii="宋体" w:hAnsi="宋体" w:eastAsia="宋体"/>
          <w:sz w:val="24"/>
        </w:rPr>
        <w:t>由表2可知：（1）污水处理率权重最高（0.1422），说明各省污水处理水平差异最大，是造成绿色发展水平差异的主要驱动因素；（2）环保投资占比和R&amp;D占比权重分别为0.1238和0.1182，表明政府环保投入和科技创新对绿色发展具有重要支撑作用；（3）森林覆盖率权重最低（0.0718），反映各省森林资源禀赋相对均衡；（4）经济子系统合计权重为0.3439，环境子系统合计权重为0.6561，环境子系统对综合评价结果影响更大。</w:t>
      </w:r>
    </w:p>
    <w:p>
      <w:pPr>
        <w:jc w:val="left"/>
      </w:pPr>
      <w:r>
        <w:rPr>
          <w:rFonts w:ascii="楷体" w:hAnsi="楷体" w:eastAsia="楷体"/>
          <w:b/>
          <w:sz w:val="28"/>
        </w:rPr>
        <w:t>（二）TOPSIS综合得分分析</w:t>
      </w:r>
    </w:p>
    <w:p>
      <w:pPr>
        <w:spacing w:line="480" w:lineRule="exact"/>
        <w:ind w:firstLine="480"/>
        <w:jc w:val="both"/>
      </w:pPr>
      <w:r>
        <w:rPr>
          <w:rFonts w:ascii="宋体" w:hAnsi="宋体" w:eastAsia="宋体"/>
          <w:sz w:val="24"/>
        </w:rPr>
        <w:t>基于熵权法确定的权重，运用TOPSIS方法计算各省份各年度的综合得分、经济子系统得分和环境子系统得分。综合得分统计结果见表3。</w:t>
      </w:r>
    </w:p>
    <w:p>
      <w:pPr>
        <w:jc w:val="center"/>
      </w:pPr>
      <w:r>
        <w:rPr>
          <w:rFonts w:ascii="黑体" w:hAnsi="黑体" w:eastAsia="黑体"/>
          <w:b/>
          <w:sz w:val="21"/>
        </w:rPr>
        <w:t>表3  绿色发展综合得分年度统计</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417"/>
          </w:tcPr>
          <w:p>
            <w:pPr>
              <w:jc w:val="center"/>
            </w:pPr>
            <w:r/>
            <w:r>
              <w:rPr>
                <w:rFonts w:ascii="黑体" w:hAnsi="黑体" w:eastAsia="黑体"/>
                <w:b/>
                <w:sz w:val="21"/>
              </w:rPr>
              <w:t>年份</w:t>
            </w:r>
          </w:p>
        </w:tc>
        <w:tc>
          <w:tcPr>
            <w:tcW w:type="dxa" w:w="1984"/>
          </w:tcPr>
          <w:p>
            <w:pPr>
              <w:jc w:val="center"/>
            </w:pPr>
            <w:r/>
            <w:r>
              <w:rPr>
                <w:rFonts w:ascii="黑体" w:hAnsi="黑体" w:eastAsia="黑体"/>
                <w:b/>
                <w:sz w:val="21"/>
              </w:rPr>
              <w:t>综合得分均值</w:t>
            </w:r>
          </w:p>
        </w:tc>
        <w:tc>
          <w:tcPr>
            <w:tcW w:type="dxa" w:w="2268"/>
          </w:tcPr>
          <w:p>
            <w:pPr>
              <w:jc w:val="center"/>
            </w:pPr>
            <w:r/>
            <w:r>
              <w:rPr>
                <w:rFonts w:ascii="黑体" w:hAnsi="黑体" w:eastAsia="黑体"/>
                <w:b/>
                <w:sz w:val="21"/>
              </w:rPr>
              <w:t>经济子系统均值</w:t>
            </w:r>
          </w:p>
        </w:tc>
        <w:tc>
          <w:tcPr>
            <w:tcW w:type="dxa" w:w="2268"/>
          </w:tcPr>
          <w:p>
            <w:pPr>
              <w:jc w:val="center"/>
            </w:pPr>
            <w:r/>
            <w:r>
              <w:rPr>
                <w:rFonts w:ascii="黑体" w:hAnsi="黑体" w:eastAsia="黑体"/>
                <w:b/>
                <w:sz w:val="21"/>
              </w:rPr>
              <w:t>环境子系统均值</w:t>
            </w:r>
          </w:p>
        </w:tc>
      </w:tr>
      <w:tr>
        <w:tc>
          <w:tcPr>
            <w:tcW w:type="dxa" w:w="1417"/>
          </w:tcPr>
          <w:p>
            <w:pPr>
              <w:jc w:val="center"/>
            </w:pPr>
            <w:r/>
            <w:r>
              <w:rPr>
                <w:rFonts w:ascii="宋体" w:hAnsi="宋体" w:eastAsia="宋体"/>
                <w:sz w:val="21"/>
              </w:rPr>
              <w:t>2018</w:t>
            </w:r>
          </w:p>
        </w:tc>
        <w:tc>
          <w:tcPr>
            <w:tcW w:type="dxa" w:w="1984"/>
          </w:tcPr>
          <w:p>
            <w:pPr>
              <w:jc w:val="center"/>
            </w:pPr>
            <w:r/>
            <w:r>
              <w:rPr>
                <w:rFonts w:ascii="宋体" w:hAnsi="宋体" w:eastAsia="宋体"/>
                <w:sz w:val="21"/>
              </w:rPr>
              <w:t>0.5730</w:t>
            </w:r>
          </w:p>
        </w:tc>
        <w:tc>
          <w:tcPr>
            <w:tcW w:type="dxa" w:w="2268"/>
          </w:tcPr>
          <w:p>
            <w:pPr>
              <w:jc w:val="center"/>
            </w:pPr>
            <w:r/>
            <w:r>
              <w:rPr>
                <w:rFonts w:ascii="宋体" w:hAnsi="宋体" w:eastAsia="宋体"/>
                <w:sz w:val="21"/>
              </w:rPr>
              <w:t>0.4738</w:t>
            </w:r>
          </w:p>
        </w:tc>
        <w:tc>
          <w:tcPr>
            <w:tcW w:type="dxa" w:w="2268"/>
          </w:tcPr>
          <w:p>
            <w:pPr>
              <w:jc w:val="center"/>
            </w:pPr>
            <w:r/>
            <w:r>
              <w:rPr>
                <w:rFonts w:ascii="宋体" w:hAnsi="宋体" w:eastAsia="宋体"/>
                <w:sz w:val="21"/>
              </w:rPr>
              <w:t>0.6063</w:t>
            </w:r>
          </w:p>
        </w:tc>
      </w:tr>
      <w:tr>
        <w:tc>
          <w:tcPr>
            <w:tcW w:type="dxa" w:w="1417"/>
          </w:tcPr>
          <w:p>
            <w:pPr>
              <w:jc w:val="center"/>
            </w:pPr>
            <w:r/>
            <w:r>
              <w:rPr>
                <w:rFonts w:ascii="宋体" w:hAnsi="宋体" w:eastAsia="宋体"/>
                <w:sz w:val="21"/>
              </w:rPr>
              <w:t>2019</w:t>
            </w:r>
          </w:p>
        </w:tc>
        <w:tc>
          <w:tcPr>
            <w:tcW w:type="dxa" w:w="1984"/>
          </w:tcPr>
          <w:p>
            <w:pPr>
              <w:jc w:val="center"/>
            </w:pPr>
            <w:r/>
            <w:r>
              <w:rPr>
                <w:rFonts w:ascii="宋体" w:hAnsi="宋体" w:eastAsia="宋体"/>
                <w:sz w:val="21"/>
              </w:rPr>
              <w:t>0.5599</w:t>
            </w:r>
          </w:p>
        </w:tc>
        <w:tc>
          <w:tcPr>
            <w:tcW w:type="dxa" w:w="2268"/>
          </w:tcPr>
          <w:p>
            <w:pPr>
              <w:jc w:val="center"/>
            </w:pPr>
            <w:r/>
            <w:r>
              <w:rPr>
                <w:rFonts w:ascii="宋体" w:hAnsi="宋体" w:eastAsia="宋体"/>
                <w:sz w:val="21"/>
              </w:rPr>
              <w:t>0.4775</w:t>
            </w:r>
          </w:p>
        </w:tc>
        <w:tc>
          <w:tcPr>
            <w:tcW w:type="dxa" w:w="2268"/>
          </w:tcPr>
          <w:p>
            <w:pPr>
              <w:jc w:val="center"/>
            </w:pPr>
            <w:r/>
            <w:r>
              <w:rPr>
                <w:rFonts w:ascii="宋体" w:hAnsi="宋体" w:eastAsia="宋体"/>
                <w:sz w:val="21"/>
              </w:rPr>
              <w:t>0.5894</w:t>
            </w:r>
          </w:p>
        </w:tc>
      </w:tr>
      <w:tr>
        <w:tc>
          <w:tcPr>
            <w:tcW w:type="dxa" w:w="1417"/>
          </w:tcPr>
          <w:p>
            <w:pPr>
              <w:jc w:val="center"/>
            </w:pPr>
            <w:r/>
            <w:r>
              <w:rPr>
                <w:rFonts w:ascii="宋体" w:hAnsi="宋体" w:eastAsia="宋体"/>
                <w:sz w:val="21"/>
              </w:rPr>
              <w:t>2020</w:t>
            </w:r>
          </w:p>
        </w:tc>
        <w:tc>
          <w:tcPr>
            <w:tcW w:type="dxa" w:w="1984"/>
          </w:tcPr>
          <w:p>
            <w:pPr>
              <w:jc w:val="center"/>
            </w:pPr>
            <w:r/>
            <w:r>
              <w:rPr>
                <w:rFonts w:ascii="宋体" w:hAnsi="宋体" w:eastAsia="宋体"/>
                <w:sz w:val="21"/>
              </w:rPr>
              <w:t>0.5802</w:t>
            </w:r>
          </w:p>
        </w:tc>
        <w:tc>
          <w:tcPr>
            <w:tcW w:type="dxa" w:w="2268"/>
          </w:tcPr>
          <w:p>
            <w:pPr>
              <w:jc w:val="center"/>
            </w:pPr>
            <w:r/>
            <w:r>
              <w:rPr>
                <w:rFonts w:ascii="宋体" w:hAnsi="宋体" w:eastAsia="宋体"/>
                <w:sz w:val="21"/>
              </w:rPr>
              <w:t>0.4780</w:t>
            </w:r>
          </w:p>
        </w:tc>
        <w:tc>
          <w:tcPr>
            <w:tcW w:type="dxa" w:w="2268"/>
          </w:tcPr>
          <w:p>
            <w:pPr>
              <w:jc w:val="center"/>
            </w:pPr>
            <w:r/>
            <w:r>
              <w:rPr>
                <w:rFonts w:ascii="宋体" w:hAnsi="宋体" w:eastAsia="宋体"/>
                <w:sz w:val="21"/>
              </w:rPr>
              <w:t>0.6158</w:t>
            </w:r>
          </w:p>
        </w:tc>
      </w:tr>
      <w:tr>
        <w:tc>
          <w:tcPr>
            <w:tcW w:type="dxa" w:w="1417"/>
          </w:tcPr>
          <w:p>
            <w:pPr>
              <w:jc w:val="center"/>
            </w:pPr>
            <w:r/>
            <w:r>
              <w:rPr>
                <w:rFonts w:ascii="宋体" w:hAnsi="宋体" w:eastAsia="宋体"/>
                <w:sz w:val="21"/>
              </w:rPr>
              <w:t>2021</w:t>
            </w:r>
          </w:p>
        </w:tc>
        <w:tc>
          <w:tcPr>
            <w:tcW w:type="dxa" w:w="1984"/>
          </w:tcPr>
          <w:p>
            <w:pPr>
              <w:jc w:val="center"/>
            </w:pPr>
            <w:r/>
            <w:r>
              <w:rPr>
                <w:rFonts w:ascii="宋体" w:hAnsi="宋体" w:eastAsia="宋体"/>
                <w:sz w:val="21"/>
              </w:rPr>
              <w:t>0.5839</w:t>
            </w:r>
          </w:p>
        </w:tc>
        <w:tc>
          <w:tcPr>
            <w:tcW w:type="dxa" w:w="2268"/>
          </w:tcPr>
          <w:p>
            <w:pPr>
              <w:jc w:val="center"/>
            </w:pPr>
            <w:r/>
            <w:r>
              <w:rPr>
                <w:rFonts w:ascii="宋体" w:hAnsi="宋体" w:eastAsia="宋体"/>
                <w:sz w:val="21"/>
              </w:rPr>
              <w:t>0.4975</w:t>
            </w:r>
          </w:p>
        </w:tc>
        <w:tc>
          <w:tcPr>
            <w:tcW w:type="dxa" w:w="2268"/>
          </w:tcPr>
          <w:p>
            <w:pPr>
              <w:jc w:val="center"/>
            </w:pPr>
            <w:r/>
            <w:r>
              <w:rPr>
                <w:rFonts w:ascii="宋体" w:hAnsi="宋体" w:eastAsia="宋体"/>
                <w:sz w:val="21"/>
              </w:rPr>
              <w:t>0.6153</w:t>
            </w:r>
          </w:p>
        </w:tc>
      </w:tr>
      <w:tr>
        <w:tc>
          <w:tcPr>
            <w:tcW w:type="dxa" w:w="1417"/>
          </w:tcPr>
          <w:p>
            <w:pPr>
              <w:jc w:val="center"/>
            </w:pPr>
            <w:r/>
            <w:r>
              <w:rPr>
                <w:rFonts w:ascii="宋体" w:hAnsi="宋体" w:eastAsia="宋体"/>
                <w:sz w:val="21"/>
              </w:rPr>
              <w:t>2022</w:t>
            </w:r>
          </w:p>
        </w:tc>
        <w:tc>
          <w:tcPr>
            <w:tcW w:type="dxa" w:w="1984"/>
          </w:tcPr>
          <w:p>
            <w:pPr>
              <w:jc w:val="center"/>
            </w:pPr>
            <w:r/>
            <w:r>
              <w:rPr>
                <w:rFonts w:ascii="宋体" w:hAnsi="宋体" w:eastAsia="宋体"/>
                <w:sz w:val="21"/>
              </w:rPr>
              <w:t>0.5771</w:t>
            </w:r>
          </w:p>
        </w:tc>
        <w:tc>
          <w:tcPr>
            <w:tcW w:type="dxa" w:w="2268"/>
          </w:tcPr>
          <w:p>
            <w:pPr>
              <w:jc w:val="center"/>
            </w:pPr>
            <w:r/>
            <w:r>
              <w:rPr>
                <w:rFonts w:ascii="宋体" w:hAnsi="宋体" w:eastAsia="宋体"/>
                <w:sz w:val="21"/>
              </w:rPr>
              <w:t>0.5257</w:t>
            </w:r>
          </w:p>
        </w:tc>
        <w:tc>
          <w:tcPr>
            <w:tcW w:type="dxa" w:w="2268"/>
          </w:tcPr>
          <w:p>
            <w:pPr>
              <w:jc w:val="center"/>
            </w:pPr>
            <w:r/>
            <w:r>
              <w:rPr>
                <w:rFonts w:ascii="宋体" w:hAnsi="宋体" w:eastAsia="宋体"/>
                <w:sz w:val="21"/>
              </w:rPr>
              <w:t>0.5944</w:t>
            </w:r>
          </w:p>
        </w:tc>
      </w:tr>
    </w:tbl>
    <w:p/>
    <w:p>
      <w:pPr>
        <w:spacing w:line="480" w:lineRule="exact"/>
        <w:ind w:firstLine="480"/>
        <w:jc w:val="both"/>
      </w:pPr>
      <w:r>
        <w:rPr>
          <w:rFonts w:ascii="宋体" w:hAnsi="宋体" w:eastAsia="宋体"/>
          <w:sz w:val="24"/>
        </w:rPr>
        <w:t>从表3可以看出：（1）综合得分均值从2018年的0.5730波动上升至2022年的0.5771，表明我国绿色发展水平整体呈小幅上升趋势；（2）经济子系统得分持续上升，由2018年的0.4738上升至2022年的0.5257，反映经济高质量发展取得积极进展；（3）环境子系统得分呈波动下降趋势，从2018年的0.6063降至2022年的0.5944，说明环境治理压力仍然较大。</w:t>
      </w:r>
    </w:p>
    <w:p>
      <w:pPr>
        <w:spacing w:line="480" w:lineRule="exact"/>
        <w:ind w:firstLine="480"/>
        <w:jc w:val="both"/>
      </w:pPr>
      <w:r>
        <w:rPr>
          <w:rFonts w:ascii="宋体" w:hAnsi="宋体" w:eastAsia="宋体"/>
          <w:sz w:val="24"/>
        </w:rPr>
        <w:t>各省份综合得分排名（前10位）见表4。</w:t>
      </w:r>
    </w:p>
    <w:p>
      <w:pPr>
        <w:jc w:val="center"/>
      </w:pPr>
      <w:r>
        <w:rPr>
          <w:rFonts w:ascii="黑体" w:hAnsi="黑体" w:eastAsia="黑体"/>
          <w:b/>
          <w:sz w:val="21"/>
        </w:rPr>
        <w:t>表4  综合得分排名前10省份</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850"/>
          </w:tcPr>
          <w:p>
            <w:pPr>
              <w:jc w:val="center"/>
            </w:pPr>
            <w:r/>
            <w:r>
              <w:rPr>
                <w:rFonts w:ascii="黑体" w:hAnsi="黑体" w:eastAsia="黑体"/>
                <w:b/>
                <w:sz w:val="21"/>
              </w:rPr>
              <w:t>排名</w:t>
            </w:r>
          </w:p>
        </w:tc>
        <w:tc>
          <w:tcPr>
            <w:tcW w:type="dxa" w:w="1417"/>
          </w:tcPr>
          <w:p>
            <w:pPr>
              <w:jc w:val="center"/>
            </w:pPr>
            <w:r/>
            <w:r>
              <w:rPr>
                <w:rFonts w:ascii="黑体" w:hAnsi="黑体" w:eastAsia="黑体"/>
                <w:b/>
                <w:sz w:val="21"/>
              </w:rPr>
              <w:t>省份</w:t>
            </w:r>
          </w:p>
        </w:tc>
        <w:tc>
          <w:tcPr>
            <w:tcW w:type="dxa" w:w="1020"/>
          </w:tcPr>
          <w:p>
            <w:pPr>
              <w:jc w:val="center"/>
            </w:pPr>
            <w:r/>
            <w:r>
              <w:rPr>
                <w:rFonts w:ascii="黑体" w:hAnsi="黑体" w:eastAsia="黑体"/>
                <w:b/>
                <w:sz w:val="21"/>
              </w:rPr>
              <w:t>年份</w:t>
            </w:r>
          </w:p>
        </w:tc>
        <w:tc>
          <w:tcPr>
            <w:tcW w:type="dxa" w:w="1531"/>
          </w:tcPr>
          <w:p>
            <w:pPr>
              <w:jc w:val="center"/>
            </w:pPr>
            <w:r/>
            <w:r>
              <w:rPr>
                <w:rFonts w:ascii="黑体" w:hAnsi="黑体" w:eastAsia="黑体"/>
                <w:b/>
                <w:sz w:val="21"/>
              </w:rPr>
              <w:t>综合得分</w:t>
            </w:r>
          </w:p>
        </w:tc>
        <w:tc>
          <w:tcPr>
            <w:tcW w:type="dxa" w:w="1701"/>
          </w:tcPr>
          <w:p>
            <w:pPr>
              <w:jc w:val="center"/>
            </w:pPr>
            <w:r/>
            <w:r>
              <w:rPr>
                <w:rFonts w:ascii="黑体" w:hAnsi="黑体" w:eastAsia="黑体"/>
                <w:b/>
                <w:sz w:val="21"/>
              </w:rPr>
              <w:t>经济子系统</w:t>
            </w:r>
          </w:p>
        </w:tc>
        <w:tc>
          <w:tcPr>
            <w:tcW w:type="dxa" w:w="1701"/>
          </w:tcPr>
          <w:p>
            <w:pPr>
              <w:jc w:val="center"/>
            </w:pPr>
            <w:r/>
            <w:r>
              <w:rPr>
                <w:rFonts w:ascii="黑体" w:hAnsi="黑体" w:eastAsia="黑体"/>
                <w:b/>
                <w:sz w:val="21"/>
              </w:rPr>
              <w:t>环境子系统</w:t>
            </w:r>
          </w:p>
        </w:tc>
      </w:tr>
      <w:tr>
        <w:tc>
          <w:tcPr>
            <w:tcW w:type="dxa" w:w="850"/>
          </w:tcPr>
          <w:p>
            <w:pPr>
              <w:jc w:val="center"/>
            </w:pPr>
            <w:r/>
            <w:r>
              <w:rPr>
                <w:rFonts w:ascii="宋体" w:hAnsi="宋体" w:eastAsia="宋体"/>
                <w:sz w:val="21"/>
              </w:rPr>
              <w:t>1</w:t>
            </w:r>
          </w:p>
        </w:tc>
        <w:tc>
          <w:tcPr>
            <w:tcW w:type="dxa" w:w="1417"/>
          </w:tcPr>
          <w:p>
            <w:pPr>
              <w:jc w:val="center"/>
            </w:pPr>
            <w:r/>
            <w:r>
              <w:rPr>
                <w:rFonts w:ascii="宋体" w:hAnsi="宋体" w:eastAsia="宋体"/>
                <w:sz w:val="21"/>
              </w:rPr>
              <w:t>西藏</w:t>
            </w:r>
          </w:p>
        </w:tc>
        <w:tc>
          <w:tcPr>
            <w:tcW w:type="dxa" w:w="1020"/>
          </w:tcPr>
          <w:p>
            <w:pPr>
              <w:jc w:val="center"/>
            </w:pPr>
            <w:r/>
            <w:r>
              <w:rPr>
                <w:rFonts w:ascii="宋体" w:hAnsi="宋体" w:eastAsia="宋体"/>
                <w:sz w:val="21"/>
              </w:rPr>
              <w:t>2022</w:t>
            </w:r>
          </w:p>
        </w:tc>
        <w:tc>
          <w:tcPr>
            <w:tcW w:type="dxa" w:w="1531"/>
          </w:tcPr>
          <w:p>
            <w:pPr>
              <w:jc w:val="center"/>
            </w:pPr>
            <w:r/>
            <w:r>
              <w:rPr>
                <w:rFonts w:ascii="宋体" w:hAnsi="宋体" w:eastAsia="宋体"/>
                <w:sz w:val="21"/>
              </w:rPr>
              <w:t>0.7604</w:t>
            </w:r>
          </w:p>
        </w:tc>
        <w:tc>
          <w:tcPr>
            <w:tcW w:type="dxa" w:w="1701"/>
          </w:tcPr>
          <w:p>
            <w:pPr>
              <w:jc w:val="center"/>
            </w:pPr>
            <w:r/>
            <w:r>
              <w:rPr>
                <w:rFonts w:ascii="宋体" w:hAnsi="宋体" w:eastAsia="宋体"/>
                <w:sz w:val="21"/>
              </w:rPr>
              <w:t>0.7336</w:t>
            </w:r>
          </w:p>
        </w:tc>
        <w:tc>
          <w:tcPr>
            <w:tcW w:type="dxa" w:w="1701"/>
          </w:tcPr>
          <w:p>
            <w:pPr>
              <w:jc w:val="center"/>
            </w:pPr>
            <w:r/>
            <w:r>
              <w:rPr>
                <w:rFonts w:ascii="宋体" w:hAnsi="宋体" w:eastAsia="宋体"/>
                <w:sz w:val="21"/>
              </w:rPr>
              <w:t>0.7706</w:t>
            </w:r>
          </w:p>
        </w:tc>
      </w:tr>
      <w:tr>
        <w:tc>
          <w:tcPr>
            <w:tcW w:type="dxa" w:w="850"/>
          </w:tcPr>
          <w:p>
            <w:pPr>
              <w:jc w:val="center"/>
            </w:pPr>
            <w:r/>
            <w:r>
              <w:rPr>
                <w:rFonts w:ascii="宋体" w:hAnsi="宋体" w:eastAsia="宋体"/>
                <w:sz w:val="21"/>
              </w:rPr>
              <w:t>2</w:t>
            </w:r>
          </w:p>
        </w:tc>
        <w:tc>
          <w:tcPr>
            <w:tcW w:type="dxa" w:w="1417"/>
          </w:tcPr>
          <w:p>
            <w:pPr>
              <w:jc w:val="center"/>
            </w:pPr>
            <w:r/>
            <w:r>
              <w:rPr>
                <w:rFonts w:ascii="宋体" w:hAnsi="宋体" w:eastAsia="宋体"/>
                <w:sz w:val="21"/>
              </w:rPr>
              <w:t>新疆</w:t>
            </w:r>
          </w:p>
        </w:tc>
        <w:tc>
          <w:tcPr>
            <w:tcW w:type="dxa" w:w="1020"/>
          </w:tcPr>
          <w:p>
            <w:pPr>
              <w:jc w:val="center"/>
            </w:pPr>
            <w:r/>
            <w:r>
              <w:rPr>
                <w:rFonts w:ascii="宋体" w:hAnsi="宋体" w:eastAsia="宋体"/>
                <w:sz w:val="21"/>
              </w:rPr>
              <w:t>2021</w:t>
            </w:r>
          </w:p>
        </w:tc>
        <w:tc>
          <w:tcPr>
            <w:tcW w:type="dxa" w:w="1531"/>
          </w:tcPr>
          <w:p>
            <w:pPr>
              <w:jc w:val="center"/>
            </w:pPr>
            <w:r/>
            <w:r>
              <w:rPr>
                <w:rFonts w:ascii="宋体" w:hAnsi="宋体" w:eastAsia="宋体"/>
                <w:sz w:val="21"/>
              </w:rPr>
              <w:t>0.7587</w:t>
            </w:r>
          </w:p>
        </w:tc>
        <w:tc>
          <w:tcPr>
            <w:tcW w:type="dxa" w:w="1701"/>
          </w:tcPr>
          <w:p>
            <w:pPr>
              <w:jc w:val="center"/>
            </w:pPr>
            <w:r/>
            <w:r>
              <w:rPr>
                <w:rFonts w:ascii="宋体" w:hAnsi="宋体" w:eastAsia="宋体"/>
                <w:sz w:val="21"/>
              </w:rPr>
              <w:t>0.6989</w:t>
            </w:r>
          </w:p>
        </w:tc>
        <w:tc>
          <w:tcPr>
            <w:tcW w:type="dxa" w:w="1701"/>
          </w:tcPr>
          <w:p>
            <w:pPr>
              <w:jc w:val="center"/>
            </w:pPr>
            <w:r/>
            <w:r>
              <w:rPr>
                <w:rFonts w:ascii="宋体" w:hAnsi="宋体" w:eastAsia="宋体"/>
                <w:sz w:val="21"/>
              </w:rPr>
              <w:t>0.7805</w:t>
            </w:r>
          </w:p>
        </w:tc>
      </w:tr>
      <w:tr>
        <w:tc>
          <w:tcPr>
            <w:tcW w:type="dxa" w:w="850"/>
          </w:tcPr>
          <w:p>
            <w:pPr>
              <w:jc w:val="center"/>
            </w:pPr>
            <w:r/>
            <w:r>
              <w:rPr>
                <w:rFonts w:ascii="宋体" w:hAnsi="宋体" w:eastAsia="宋体"/>
                <w:sz w:val="21"/>
              </w:rPr>
              <w:t>3</w:t>
            </w:r>
          </w:p>
        </w:tc>
        <w:tc>
          <w:tcPr>
            <w:tcW w:type="dxa" w:w="1417"/>
          </w:tcPr>
          <w:p>
            <w:pPr>
              <w:jc w:val="center"/>
            </w:pPr>
            <w:r/>
            <w:r>
              <w:rPr>
                <w:rFonts w:ascii="宋体" w:hAnsi="宋体" w:eastAsia="宋体"/>
                <w:sz w:val="21"/>
              </w:rPr>
              <w:t>新疆</w:t>
            </w:r>
          </w:p>
        </w:tc>
        <w:tc>
          <w:tcPr>
            <w:tcW w:type="dxa" w:w="1020"/>
          </w:tcPr>
          <w:p>
            <w:pPr>
              <w:jc w:val="center"/>
            </w:pPr>
            <w:r/>
            <w:r>
              <w:rPr>
                <w:rFonts w:ascii="宋体" w:hAnsi="宋体" w:eastAsia="宋体"/>
                <w:sz w:val="21"/>
              </w:rPr>
              <w:t>2022</w:t>
            </w:r>
          </w:p>
        </w:tc>
        <w:tc>
          <w:tcPr>
            <w:tcW w:type="dxa" w:w="1531"/>
          </w:tcPr>
          <w:p>
            <w:pPr>
              <w:jc w:val="center"/>
            </w:pPr>
            <w:r/>
            <w:r>
              <w:rPr>
                <w:rFonts w:ascii="宋体" w:hAnsi="宋体" w:eastAsia="宋体"/>
                <w:sz w:val="21"/>
              </w:rPr>
              <w:t>0.7585</w:t>
            </w:r>
          </w:p>
        </w:tc>
        <w:tc>
          <w:tcPr>
            <w:tcW w:type="dxa" w:w="1701"/>
          </w:tcPr>
          <w:p>
            <w:pPr>
              <w:jc w:val="center"/>
            </w:pPr>
            <w:r/>
            <w:r>
              <w:rPr>
                <w:rFonts w:ascii="宋体" w:hAnsi="宋体" w:eastAsia="宋体"/>
                <w:sz w:val="21"/>
              </w:rPr>
              <w:t>0.9062</w:t>
            </w:r>
          </w:p>
        </w:tc>
        <w:tc>
          <w:tcPr>
            <w:tcW w:type="dxa" w:w="1701"/>
          </w:tcPr>
          <w:p>
            <w:pPr>
              <w:jc w:val="center"/>
            </w:pPr>
            <w:r/>
            <w:r>
              <w:rPr>
                <w:rFonts w:ascii="宋体" w:hAnsi="宋体" w:eastAsia="宋体"/>
                <w:sz w:val="21"/>
              </w:rPr>
              <w:t>0.7273</w:t>
            </w:r>
          </w:p>
        </w:tc>
      </w:tr>
      <w:tr>
        <w:tc>
          <w:tcPr>
            <w:tcW w:type="dxa" w:w="850"/>
          </w:tcPr>
          <w:p>
            <w:pPr>
              <w:jc w:val="center"/>
            </w:pPr>
            <w:r/>
            <w:r>
              <w:rPr>
                <w:rFonts w:ascii="宋体" w:hAnsi="宋体" w:eastAsia="宋体"/>
                <w:sz w:val="21"/>
              </w:rPr>
              <w:t>4</w:t>
            </w:r>
          </w:p>
        </w:tc>
        <w:tc>
          <w:tcPr>
            <w:tcW w:type="dxa" w:w="1417"/>
          </w:tcPr>
          <w:p>
            <w:pPr>
              <w:jc w:val="center"/>
            </w:pPr>
            <w:r/>
            <w:r>
              <w:rPr>
                <w:rFonts w:ascii="宋体" w:hAnsi="宋体" w:eastAsia="宋体"/>
                <w:sz w:val="21"/>
              </w:rPr>
              <w:t>陕西</w:t>
            </w:r>
          </w:p>
        </w:tc>
        <w:tc>
          <w:tcPr>
            <w:tcW w:type="dxa" w:w="1020"/>
          </w:tcPr>
          <w:p>
            <w:pPr>
              <w:jc w:val="center"/>
            </w:pPr>
            <w:r/>
            <w:r>
              <w:rPr>
                <w:rFonts w:ascii="宋体" w:hAnsi="宋体" w:eastAsia="宋体"/>
                <w:sz w:val="21"/>
              </w:rPr>
              <w:t>2020</w:t>
            </w:r>
          </w:p>
        </w:tc>
        <w:tc>
          <w:tcPr>
            <w:tcW w:type="dxa" w:w="1531"/>
          </w:tcPr>
          <w:p>
            <w:pPr>
              <w:jc w:val="center"/>
            </w:pPr>
            <w:r/>
            <w:r>
              <w:rPr>
                <w:rFonts w:ascii="宋体" w:hAnsi="宋体" w:eastAsia="宋体"/>
                <w:sz w:val="21"/>
              </w:rPr>
              <w:t>0.7528</w:t>
            </w:r>
          </w:p>
        </w:tc>
        <w:tc>
          <w:tcPr>
            <w:tcW w:type="dxa" w:w="1701"/>
          </w:tcPr>
          <w:p>
            <w:pPr>
              <w:jc w:val="center"/>
            </w:pPr>
            <w:r/>
            <w:r>
              <w:rPr>
                <w:rFonts w:ascii="宋体" w:hAnsi="宋体" w:eastAsia="宋体"/>
                <w:sz w:val="21"/>
              </w:rPr>
              <w:t>0.7203</w:t>
            </w:r>
          </w:p>
        </w:tc>
        <w:tc>
          <w:tcPr>
            <w:tcW w:type="dxa" w:w="1701"/>
          </w:tcPr>
          <w:p>
            <w:pPr>
              <w:jc w:val="center"/>
            </w:pPr>
            <w:r/>
            <w:r>
              <w:rPr>
                <w:rFonts w:ascii="宋体" w:hAnsi="宋体" w:eastAsia="宋体"/>
                <w:sz w:val="21"/>
              </w:rPr>
              <w:t>0.7664</w:t>
            </w:r>
          </w:p>
        </w:tc>
      </w:tr>
      <w:tr>
        <w:tc>
          <w:tcPr>
            <w:tcW w:type="dxa" w:w="850"/>
          </w:tcPr>
          <w:p>
            <w:pPr>
              <w:jc w:val="center"/>
            </w:pPr>
            <w:r/>
            <w:r>
              <w:rPr>
                <w:rFonts w:ascii="宋体" w:hAnsi="宋体" w:eastAsia="宋体"/>
                <w:sz w:val="21"/>
              </w:rPr>
              <w:t>5</w:t>
            </w:r>
          </w:p>
        </w:tc>
        <w:tc>
          <w:tcPr>
            <w:tcW w:type="dxa" w:w="1417"/>
          </w:tcPr>
          <w:p>
            <w:pPr>
              <w:jc w:val="center"/>
            </w:pPr>
            <w:r/>
            <w:r>
              <w:rPr>
                <w:rFonts w:ascii="宋体" w:hAnsi="宋体" w:eastAsia="宋体"/>
                <w:sz w:val="21"/>
              </w:rPr>
              <w:t>宁夏</w:t>
            </w:r>
          </w:p>
        </w:tc>
        <w:tc>
          <w:tcPr>
            <w:tcW w:type="dxa" w:w="1020"/>
          </w:tcPr>
          <w:p>
            <w:pPr>
              <w:jc w:val="center"/>
            </w:pPr>
            <w:r/>
            <w:r>
              <w:rPr>
                <w:rFonts w:ascii="宋体" w:hAnsi="宋体" w:eastAsia="宋体"/>
                <w:sz w:val="21"/>
              </w:rPr>
              <w:t>2019</w:t>
            </w:r>
          </w:p>
        </w:tc>
        <w:tc>
          <w:tcPr>
            <w:tcW w:type="dxa" w:w="1531"/>
          </w:tcPr>
          <w:p>
            <w:pPr>
              <w:jc w:val="center"/>
            </w:pPr>
            <w:r/>
            <w:r>
              <w:rPr>
                <w:rFonts w:ascii="宋体" w:hAnsi="宋体" w:eastAsia="宋体"/>
                <w:sz w:val="21"/>
              </w:rPr>
              <w:t>0.7485</w:t>
            </w:r>
          </w:p>
        </w:tc>
        <w:tc>
          <w:tcPr>
            <w:tcW w:type="dxa" w:w="1701"/>
          </w:tcPr>
          <w:p>
            <w:pPr>
              <w:jc w:val="center"/>
            </w:pPr>
            <w:r/>
            <w:r>
              <w:rPr>
                <w:rFonts w:ascii="宋体" w:hAnsi="宋体" w:eastAsia="宋体"/>
                <w:sz w:val="21"/>
              </w:rPr>
              <w:t>0.7553</w:t>
            </w:r>
          </w:p>
        </w:tc>
        <w:tc>
          <w:tcPr>
            <w:tcW w:type="dxa" w:w="1701"/>
          </w:tcPr>
          <w:p>
            <w:pPr>
              <w:jc w:val="center"/>
            </w:pPr>
            <w:r/>
            <w:r>
              <w:rPr>
                <w:rFonts w:ascii="宋体" w:hAnsi="宋体" w:eastAsia="宋体"/>
                <w:sz w:val="21"/>
              </w:rPr>
              <w:t>0.7462</w:t>
            </w:r>
          </w:p>
        </w:tc>
      </w:tr>
      <w:tr>
        <w:tc>
          <w:tcPr>
            <w:tcW w:type="dxa" w:w="850"/>
          </w:tcPr>
          <w:p>
            <w:pPr>
              <w:jc w:val="center"/>
            </w:pPr>
            <w:r/>
            <w:r>
              <w:rPr>
                <w:rFonts w:ascii="宋体" w:hAnsi="宋体" w:eastAsia="宋体"/>
                <w:sz w:val="21"/>
              </w:rPr>
              <w:t>6</w:t>
            </w:r>
          </w:p>
        </w:tc>
        <w:tc>
          <w:tcPr>
            <w:tcW w:type="dxa" w:w="1417"/>
          </w:tcPr>
          <w:p>
            <w:pPr>
              <w:jc w:val="center"/>
            </w:pPr>
            <w:r/>
            <w:r>
              <w:rPr>
                <w:rFonts w:ascii="宋体" w:hAnsi="宋体" w:eastAsia="宋体"/>
                <w:sz w:val="21"/>
              </w:rPr>
              <w:t>宁夏</w:t>
            </w:r>
          </w:p>
        </w:tc>
        <w:tc>
          <w:tcPr>
            <w:tcW w:type="dxa" w:w="1020"/>
          </w:tcPr>
          <w:p>
            <w:pPr>
              <w:jc w:val="center"/>
            </w:pPr>
            <w:r/>
            <w:r>
              <w:rPr>
                <w:rFonts w:ascii="宋体" w:hAnsi="宋体" w:eastAsia="宋体"/>
                <w:sz w:val="21"/>
              </w:rPr>
              <w:t>2021</w:t>
            </w:r>
          </w:p>
        </w:tc>
        <w:tc>
          <w:tcPr>
            <w:tcW w:type="dxa" w:w="1531"/>
          </w:tcPr>
          <w:p>
            <w:pPr>
              <w:jc w:val="center"/>
            </w:pPr>
            <w:r/>
            <w:r>
              <w:rPr>
                <w:rFonts w:ascii="宋体" w:hAnsi="宋体" w:eastAsia="宋体"/>
                <w:sz w:val="21"/>
              </w:rPr>
              <w:t>0.7443</w:t>
            </w:r>
          </w:p>
        </w:tc>
        <w:tc>
          <w:tcPr>
            <w:tcW w:type="dxa" w:w="1701"/>
          </w:tcPr>
          <w:p>
            <w:pPr>
              <w:jc w:val="center"/>
            </w:pPr>
            <w:r/>
            <w:r>
              <w:rPr>
                <w:rFonts w:ascii="宋体" w:hAnsi="宋体" w:eastAsia="宋体"/>
                <w:sz w:val="21"/>
              </w:rPr>
              <w:t>0.7592</w:t>
            </w:r>
          </w:p>
        </w:tc>
        <w:tc>
          <w:tcPr>
            <w:tcW w:type="dxa" w:w="1701"/>
          </w:tcPr>
          <w:p>
            <w:pPr>
              <w:jc w:val="center"/>
            </w:pPr>
            <w:r/>
            <w:r>
              <w:rPr>
                <w:rFonts w:ascii="宋体" w:hAnsi="宋体" w:eastAsia="宋体"/>
                <w:sz w:val="21"/>
              </w:rPr>
              <w:t>0.7400</w:t>
            </w:r>
          </w:p>
        </w:tc>
      </w:tr>
      <w:tr>
        <w:tc>
          <w:tcPr>
            <w:tcW w:type="dxa" w:w="850"/>
          </w:tcPr>
          <w:p>
            <w:pPr>
              <w:jc w:val="center"/>
            </w:pPr>
            <w:r/>
            <w:r>
              <w:rPr>
                <w:rFonts w:ascii="宋体" w:hAnsi="宋体" w:eastAsia="宋体"/>
                <w:sz w:val="21"/>
              </w:rPr>
              <w:t>7</w:t>
            </w:r>
          </w:p>
        </w:tc>
        <w:tc>
          <w:tcPr>
            <w:tcW w:type="dxa" w:w="1417"/>
          </w:tcPr>
          <w:p>
            <w:pPr>
              <w:jc w:val="center"/>
            </w:pPr>
            <w:r/>
            <w:r>
              <w:rPr>
                <w:rFonts w:ascii="宋体" w:hAnsi="宋体" w:eastAsia="宋体"/>
                <w:sz w:val="21"/>
              </w:rPr>
              <w:t>青海</w:t>
            </w:r>
          </w:p>
        </w:tc>
        <w:tc>
          <w:tcPr>
            <w:tcW w:type="dxa" w:w="1020"/>
          </w:tcPr>
          <w:p>
            <w:pPr>
              <w:jc w:val="center"/>
            </w:pPr>
            <w:r/>
            <w:r>
              <w:rPr>
                <w:rFonts w:ascii="宋体" w:hAnsi="宋体" w:eastAsia="宋体"/>
                <w:sz w:val="21"/>
              </w:rPr>
              <w:t>2020</w:t>
            </w:r>
          </w:p>
        </w:tc>
        <w:tc>
          <w:tcPr>
            <w:tcW w:type="dxa" w:w="1531"/>
          </w:tcPr>
          <w:p>
            <w:pPr>
              <w:jc w:val="center"/>
            </w:pPr>
            <w:r/>
            <w:r>
              <w:rPr>
                <w:rFonts w:ascii="宋体" w:hAnsi="宋体" w:eastAsia="宋体"/>
                <w:sz w:val="21"/>
              </w:rPr>
              <w:t>0.7437</w:t>
            </w:r>
          </w:p>
        </w:tc>
        <w:tc>
          <w:tcPr>
            <w:tcW w:type="dxa" w:w="1701"/>
          </w:tcPr>
          <w:p>
            <w:pPr>
              <w:jc w:val="center"/>
            </w:pPr>
            <w:r/>
            <w:r>
              <w:rPr>
                <w:rFonts w:ascii="宋体" w:hAnsi="宋体" w:eastAsia="宋体"/>
                <w:sz w:val="21"/>
              </w:rPr>
              <w:t>0.7377</w:t>
            </w:r>
          </w:p>
        </w:tc>
        <w:tc>
          <w:tcPr>
            <w:tcW w:type="dxa" w:w="1701"/>
          </w:tcPr>
          <w:p>
            <w:pPr>
              <w:jc w:val="center"/>
            </w:pPr>
            <w:r/>
            <w:r>
              <w:rPr>
                <w:rFonts w:ascii="宋体" w:hAnsi="宋体" w:eastAsia="宋体"/>
                <w:sz w:val="21"/>
              </w:rPr>
              <w:t>0.7458</w:t>
            </w:r>
          </w:p>
        </w:tc>
      </w:tr>
      <w:tr>
        <w:tc>
          <w:tcPr>
            <w:tcW w:type="dxa" w:w="850"/>
          </w:tcPr>
          <w:p>
            <w:pPr>
              <w:jc w:val="center"/>
            </w:pPr>
            <w:r/>
            <w:r>
              <w:rPr>
                <w:rFonts w:ascii="宋体" w:hAnsi="宋体" w:eastAsia="宋体"/>
                <w:sz w:val="21"/>
              </w:rPr>
              <w:t>8</w:t>
            </w:r>
          </w:p>
        </w:tc>
        <w:tc>
          <w:tcPr>
            <w:tcW w:type="dxa" w:w="1417"/>
          </w:tcPr>
          <w:p>
            <w:pPr>
              <w:jc w:val="center"/>
            </w:pPr>
            <w:r/>
            <w:r>
              <w:rPr>
                <w:rFonts w:ascii="宋体" w:hAnsi="宋体" w:eastAsia="宋体"/>
                <w:sz w:val="21"/>
              </w:rPr>
              <w:t>宁夏</w:t>
            </w:r>
          </w:p>
        </w:tc>
        <w:tc>
          <w:tcPr>
            <w:tcW w:type="dxa" w:w="1020"/>
          </w:tcPr>
          <w:p>
            <w:pPr>
              <w:jc w:val="center"/>
            </w:pPr>
            <w:r/>
            <w:r>
              <w:rPr>
                <w:rFonts w:ascii="宋体" w:hAnsi="宋体" w:eastAsia="宋体"/>
                <w:sz w:val="21"/>
              </w:rPr>
              <w:t>2020</w:t>
            </w:r>
          </w:p>
        </w:tc>
        <w:tc>
          <w:tcPr>
            <w:tcW w:type="dxa" w:w="1531"/>
          </w:tcPr>
          <w:p>
            <w:pPr>
              <w:jc w:val="center"/>
            </w:pPr>
            <w:r/>
            <w:r>
              <w:rPr>
                <w:rFonts w:ascii="宋体" w:hAnsi="宋体" w:eastAsia="宋体"/>
                <w:sz w:val="21"/>
              </w:rPr>
              <w:t>0.7420</w:t>
            </w:r>
          </w:p>
        </w:tc>
        <w:tc>
          <w:tcPr>
            <w:tcW w:type="dxa" w:w="1701"/>
          </w:tcPr>
          <w:p>
            <w:pPr>
              <w:jc w:val="center"/>
            </w:pPr>
            <w:r/>
            <w:r>
              <w:rPr>
                <w:rFonts w:ascii="宋体" w:hAnsi="宋体" w:eastAsia="宋体"/>
                <w:sz w:val="21"/>
              </w:rPr>
              <w:t>0.7733</w:t>
            </w:r>
          </w:p>
        </w:tc>
        <w:tc>
          <w:tcPr>
            <w:tcW w:type="dxa" w:w="1701"/>
          </w:tcPr>
          <w:p>
            <w:pPr>
              <w:jc w:val="center"/>
            </w:pPr>
            <w:r/>
            <w:r>
              <w:rPr>
                <w:rFonts w:ascii="宋体" w:hAnsi="宋体" w:eastAsia="宋体"/>
                <w:sz w:val="21"/>
              </w:rPr>
              <w:t>0.7322</w:t>
            </w:r>
          </w:p>
        </w:tc>
      </w:tr>
      <w:tr>
        <w:tc>
          <w:tcPr>
            <w:tcW w:type="dxa" w:w="850"/>
          </w:tcPr>
          <w:p>
            <w:pPr>
              <w:jc w:val="center"/>
            </w:pPr>
            <w:r/>
            <w:r>
              <w:rPr>
                <w:rFonts w:ascii="宋体" w:hAnsi="宋体" w:eastAsia="宋体"/>
                <w:sz w:val="21"/>
              </w:rPr>
              <w:t>9</w:t>
            </w:r>
          </w:p>
        </w:tc>
        <w:tc>
          <w:tcPr>
            <w:tcW w:type="dxa" w:w="1417"/>
          </w:tcPr>
          <w:p>
            <w:pPr>
              <w:jc w:val="center"/>
            </w:pPr>
            <w:r/>
            <w:r>
              <w:rPr>
                <w:rFonts w:ascii="宋体" w:hAnsi="宋体" w:eastAsia="宋体"/>
                <w:sz w:val="21"/>
              </w:rPr>
              <w:t>甘肃</w:t>
            </w:r>
          </w:p>
        </w:tc>
        <w:tc>
          <w:tcPr>
            <w:tcW w:type="dxa" w:w="1020"/>
          </w:tcPr>
          <w:p>
            <w:pPr>
              <w:jc w:val="center"/>
            </w:pPr>
            <w:r/>
            <w:r>
              <w:rPr>
                <w:rFonts w:ascii="宋体" w:hAnsi="宋体" w:eastAsia="宋体"/>
                <w:sz w:val="21"/>
              </w:rPr>
              <w:t>2020</w:t>
            </w:r>
          </w:p>
        </w:tc>
        <w:tc>
          <w:tcPr>
            <w:tcW w:type="dxa" w:w="1531"/>
          </w:tcPr>
          <w:p>
            <w:pPr>
              <w:jc w:val="center"/>
            </w:pPr>
            <w:r/>
            <w:r>
              <w:rPr>
                <w:rFonts w:ascii="宋体" w:hAnsi="宋体" w:eastAsia="宋体"/>
                <w:sz w:val="21"/>
              </w:rPr>
              <w:t>0.7413</w:t>
            </w:r>
          </w:p>
        </w:tc>
        <w:tc>
          <w:tcPr>
            <w:tcW w:type="dxa" w:w="1701"/>
          </w:tcPr>
          <w:p>
            <w:pPr>
              <w:jc w:val="center"/>
            </w:pPr>
            <w:r/>
            <w:r>
              <w:rPr>
                <w:rFonts w:ascii="宋体" w:hAnsi="宋体" w:eastAsia="宋体"/>
                <w:sz w:val="21"/>
              </w:rPr>
              <w:t>0.8129</w:t>
            </w:r>
          </w:p>
        </w:tc>
        <w:tc>
          <w:tcPr>
            <w:tcW w:type="dxa" w:w="1701"/>
          </w:tcPr>
          <w:p>
            <w:pPr>
              <w:jc w:val="center"/>
            </w:pPr>
            <w:r/>
            <w:r>
              <w:rPr>
                <w:rFonts w:ascii="宋体" w:hAnsi="宋体" w:eastAsia="宋体"/>
                <w:sz w:val="21"/>
              </w:rPr>
              <w:t>0.7187</w:t>
            </w:r>
          </w:p>
        </w:tc>
      </w:tr>
      <w:tr>
        <w:tc>
          <w:tcPr>
            <w:tcW w:type="dxa" w:w="850"/>
          </w:tcPr>
          <w:p>
            <w:pPr>
              <w:jc w:val="center"/>
            </w:pPr>
            <w:r/>
            <w:r>
              <w:rPr>
                <w:rFonts w:ascii="宋体" w:hAnsi="宋体" w:eastAsia="宋体"/>
                <w:sz w:val="21"/>
              </w:rPr>
              <w:t>10</w:t>
            </w:r>
          </w:p>
        </w:tc>
        <w:tc>
          <w:tcPr>
            <w:tcW w:type="dxa" w:w="1417"/>
          </w:tcPr>
          <w:p>
            <w:pPr>
              <w:jc w:val="center"/>
            </w:pPr>
            <w:r/>
            <w:r>
              <w:rPr>
                <w:rFonts w:ascii="宋体" w:hAnsi="宋体" w:eastAsia="宋体"/>
                <w:sz w:val="21"/>
              </w:rPr>
              <w:t>新疆</w:t>
            </w:r>
          </w:p>
        </w:tc>
        <w:tc>
          <w:tcPr>
            <w:tcW w:type="dxa" w:w="1020"/>
          </w:tcPr>
          <w:p>
            <w:pPr>
              <w:jc w:val="center"/>
            </w:pPr>
            <w:r/>
            <w:r>
              <w:rPr>
                <w:rFonts w:ascii="宋体" w:hAnsi="宋体" w:eastAsia="宋体"/>
                <w:sz w:val="21"/>
              </w:rPr>
              <w:t>2019</w:t>
            </w:r>
          </w:p>
        </w:tc>
        <w:tc>
          <w:tcPr>
            <w:tcW w:type="dxa" w:w="1531"/>
          </w:tcPr>
          <w:p>
            <w:pPr>
              <w:jc w:val="center"/>
            </w:pPr>
            <w:r/>
            <w:r>
              <w:rPr>
                <w:rFonts w:ascii="宋体" w:hAnsi="宋体" w:eastAsia="宋体"/>
                <w:sz w:val="21"/>
              </w:rPr>
              <w:t>0.7408</w:t>
            </w:r>
          </w:p>
        </w:tc>
        <w:tc>
          <w:tcPr>
            <w:tcW w:type="dxa" w:w="1701"/>
          </w:tcPr>
          <w:p>
            <w:pPr>
              <w:jc w:val="center"/>
            </w:pPr>
            <w:r/>
            <w:r>
              <w:rPr>
                <w:rFonts w:ascii="宋体" w:hAnsi="宋体" w:eastAsia="宋体"/>
                <w:sz w:val="21"/>
              </w:rPr>
              <w:t>0.8035</w:t>
            </w:r>
          </w:p>
        </w:tc>
        <w:tc>
          <w:tcPr>
            <w:tcW w:type="dxa" w:w="1701"/>
          </w:tcPr>
          <w:p>
            <w:pPr>
              <w:jc w:val="center"/>
            </w:pPr>
            <w:r/>
            <w:r>
              <w:rPr>
                <w:rFonts w:ascii="宋体" w:hAnsi="宋体" w:eastAsia="宋体"/>
                <w:sz w:val="21"/>
              </w:rPr>
              <w:t>0.7236</w:t>
            </w:r>
          </w:p>
        </w:tc>
      </w:tr>
    </w:tbl>
    <w:p/>
    <w:p>
      <w:pPr>
        <w:spacing w:line="480" w:lineRule="exact"/>
        <w:ind w:firstLine="480"/>
        <w:jc w:val="both"/>
      </w:pPr>
      <w:r>
        <w:rPr>
          <w:rFonts w:ascii="宋体" w:hAnsi="宋体" w:eastAsia="宋体"/>
          <w:sz w:val="24"/>
        </w:rPr>
        <w:t>由表4可知：（1）西藏在2022年以0.7604的综合得分位居全国首位，主要得益于其在环境子系统的高分表现；（2）新疆、宁夏、青海、甘肃等西部省份表现突出，这些地区环境资源禀赋较好；（3）北京、上海、天津等东部发达省份综合得分相对靠后，主要原因是经济活动强度大导致环境指标相对劣势。</w:t>
      </w:r>
    </w:p>
    <w:p>
      <w:pPr>
        <w:jc w:val="left"/>
      </w:pPr>
      <w:r>
        <w:rPr>
          <w:rFonts w:ascii="楷体" w:hAnsi="楷体" w:eastAsia="楷体"/>
          <w:b/>
          <w:sz w:val="28"/>
        </w:rPr>
        <w:t>（三）耦合协调度分析</w:t>
      </w:r>
    </w:p>
    <w:p>
      <w:pPr>
        <w:spacing w:line="480" w:lineRule="exact"/>
        <w:ind w:firstLine="480"/>
        <w:jc w:val="both"/>
      </w:pPr>
      <w:r>
        <w:rPr>
          <w:rFonts w:ascii="宋体" w:hAnsi="宋体" w:eastAsia="宋体"/>
          <w:sz w:val="24"/>
        </w:rPr>
        <w:t>运用耦合协调度模型，计算经济子系统与环境子系统的耦合协调度，结果见表5和表6。</w:t>
      </w:r>
    </w:p>
    <w:p>
      <w:pPr>
        <w:jc w:val="center"/>
      </w:pPr>
      <w:r>
        <w:rPr>
          <w:rFonts w:ascii="黑体" w:hAnsi="黑体" w:eastAsia="黑体"/>
          <w:b/>
          <w:sz w:val="21"/>
        </w:rPr>
        <w:t>表5  耦合协调度年度统计</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020"/>
          </w:tcPr>
          <w:p>
            <w:pPr>
              <w:jc w:val="center"/>
            </w:pPr>
            <w:r/>
            <w:r>
              <w:rPr>
                <w:rFonts w:ascii="黑体" w:hAnsi="黑体" w:eastAsia="黑体"/>
                <w:b/>
                <w:sz w:val="21"/>
              </w:rPr>
              <w:t>年份</w:t>
            </w:r>
          </w:p>
        </w:tc>
        <w:tc>
          <w:tcPr>
            <w:tcW w:type="dxa" w:w="1417"/>
          </w:tcPr>
          <w:p>
            <w:pPr>
              <w:jc w:val="center"/>
            </w:pPr>
            <w:r/>
            <w:r>
              <w:rPr>
                <w:rFonts w:ascii="黑体" w:hAnsi="黑体" w:eastAsia="黑体"/>
                <w:b/>
                <w:sz w:val="21"/>
              </w:rPr>
              <w:t>耦合度</w:t>
            </w:r>
          </w:p>
        </w:tc>
        <w:tc>
          <w:tcPr>
            <w:tcW w:type="dxa" w:w="1701"/>
          </w:tcPr>
          <w:p>
            <w:pPr>
              <w:jc w:val="center"/>
            </w:pPr>
            <w:r/>
            <w:r>
              <w:rPr>
                <w:rFonts w:ascii="黑体" w:hAnsi="黑体" w:eastAsia="黑体"/>
                <w:b/>
                <w:sz w:val="21"/>
              </w:rPr>
              <w:t>综合发展指数</w:t>
            </w:r>
          </w:p>
        </w:tc>
        <w:tc>
          <w:tcPr>
            <w:tcW w:type="dxa" w:w="1701"/>
          </w:tcPr>
          <w:p>
            <w:pPr>
              <w:jc w:val="center"/>
            </w:pPr>
            <w:r/>
            <w:r>
              <w:rPr>
                <w:rFonts w:ascii="黑体" w:hAnsi="黑体" w:eastAsia="黑体"/>
                <w:b/>
                <w:sz w:val="21"/>
              </w:rPr>
              <w:t>耦合协调度</w:t>
            </w:r>
          </w:p>
        </w:tc>
        <w:tc>
          <w:tcPr>
            <w:tcW w:type="dxa" w:w="1814"/>
          </w:tcPr>
          <w:p>
            <w:pPr>
              <w:jc w:val="center"/>
            </w:pPr>
            <w:r/>
            <w:r>
              <w:rPr>
                <w:rFonts w:ascii="黑体" w:hAnsi="黑体" w:eastAsia="黑体"/>
                <w:b/>
                <w:sz w:val="21"/>
              </w:rPr>
              <w:t>主要协调等级</w:t>
            </w:r>
          </w:p>
        </w:tc>
      </w:tr>
      <w:tr>
        <w:tc>
          <w:tcPr>
            <w:tcW w:type="dxa" w:w="1020"/>
          </w:tcPr>
          <w:p>
            <w:pPr>
              <w:jc w:val="center"/>
            </w:pPr>
            <w:r/>
            <w:r>
              <w:rPr>
                <w:rFonts w:ascii="宋体" w:hAnsi="宋体" w:eastAsia="宋体"/>
                <w:sz w:val="21"/>
              </w:rPr>
              <w:t>2018</w:t>
            </w:r>
          </w:p>
        </w:tc>
        <w:tc>
          <w:tcPr>
            <w:tcW w:type="dxa" w:w="1417"/>
          </w:tcPr>
          <w:p>
            <w:pPr>
              <w:jc w:val="center"/>
            </w:pPr>
            <w:r/>
            <w:r>
              <w:rPr>
                <w:rFonts w:ascii="宋体" w:hAnsi="宋体" w:eastAsia="宋体"/>
                <w:sz w:val="21"/>
              </w:rPr>
              <w:t>1.0104</w:t>
            </w:r>
          </w:p>
        </w:tc>
        <w:tc>
          <w:tcPr>
            <w:tcW w:type="dxa" w:w="1701"/>
          </w:tcPr>
          <w:p>
            <w:pPr>
              <w:jc w:val="center"/>
            </w:pPr>
            <w:r/>
            <w:r>
              <w:rPr>
                <w:rFonts w:ascii="宋体" w:hAnsi="宋体" w:eastAsia="宋体"/>
                <w:sz w:val="21"/>
              </w:rPr>
              <w:t>0.5400</w:t>
            </w:r>
          </w:p>
        </w:tc>
        <w:tc>
          <w:tcPr>
            <w:tcW w:type="dxa" w:w="1701"/>
          </w:tcPr>
          <w:p>
            <w:pPr>
              <w:jc w:val="center"/>
            </w:pPr>
            <w:r/>
            <w:r>
              <w:rPr>
                <w:rFonts w:ascii="宋体" w:hAnsi="宋体" w:eastAsia="宋体"/>
                <w:sz w:val="21"/>
              </w:rPr>
              <w:t>0.7379</w:t>
            </w:r>
          </w:p>
        </w:tc>
        <w:tc>
          <w:tcPr>
            <w:tcW w:type="dxa" w:w="1814"/>
          </w:tcPr>
          <w:p>
            <w:pPr>
              <w:jc w:val="center"/>
            </w:pPr>
            <w:r/>
            <w:r>
              <w:rPr>
                <w:rFonts w:ascii="宋体" w:hAnsi="宋体" w:eastAsia="宋体"/>
                <w:sz w:val="21"/>
              </w:rPr>
              <w:t>中度协调</w:t>
            </w:r>
          </w:p>
        </w:tc>
      </w:tr>
      <w:tr>
        <w:tc>
          <w:tcPr>
            <w:tcW w:type="dxa" w:w="1020"/>
          </w:tcPr>
          <w:p>
            <w:pPr>
              <w:jc w:val="center"/>
            </w:pPr>
            <w:r/>
            <w:r>
              <w:rPr>
                <w:rFonts w:ascii="宋体" w:hAnsi="宋体" w:eastAsia="宋体"/>
                <w:sz w:val="21"/>
              </w:rPr>
              <w:t>2019</w:t>
            </w:r>
          </w:p>
        </w:tc>
        <w:tc>
          <w:tcPr>
            <w:tcW w:type="dxa" w:w="1417"/>
          </w:tcPr>
          <w:p>
            <w:pPr>
              <w:jc w:val="center"/>
            </w:pPr>
            <w:r/>
            <w:r>
              <w:rPr>
                <w:rFonts w:ascii="宋体" w:hAnsi="宋体" w:eastAsia="宋体"/>
                <w:sz w:val="21"/>
              </w:rPr>
              <w:t>1.0026</w:t>
            </w:r>
          </w:p>
        </w:tc>
        <w:tc>
          <w:tcPr>
            <w:tcW w:type="dxa" w:w="1701"/>
          </w:tcPr>
          <w:p>
            <w:pPr>
              <w:jc w:val="center"/>
            </w:pPr>
            <w:r/>
            <w:r>
              <w:rPr>
                <w:rFonts w:ascii="宋体" w:hAnsi="宋体" w:eastAsia="宋体"/>
                <w:sz w:val="21"/>
              </w:rPr>
              <w:t>0.5334</w:t>
            </w:r>
          </w:p>
        </w:tc>
        <w:tc>
          <w:tcPr>
            <w:tcW w:type="dxa" w:w="1701"/>
          </w:tcPr>
          <w:p>
            <w:pPr>
              <w:jc w:val="center"/>
            </w:pPr>
            <w:r/>
            <w:r>
              <w:rPr>
                <w:rFonts w:ascii="宋体" w:hAnsi="宋体" w:eastAsia="宋体"/>
                <w:sz w:val="21"/>
              </w:rPr>
              <w:t>0.7304</w:t>
            </w:r>
          </w:p>
        </w:tc>
        <w:tc>
          <w:tcPr>
            <w:tcW w:type="dxa" w:w="1814"/>
          </w:tcPr>
          <w:p>
            <w:pPr>
              <w:jc w:val="center"/>
            </w:pPr>
            <w:r/>
            <w:r>
              <w:rPr>
                <w:rFonts w:ascii="宋体" w:hAnsi="宋体" w:eastAsia="宋体"/>
                <w:sz w:val="21"/>
              </w:rPr>
              <w:t>中度协调</w:t>
            </w:r>
          </w:p>
        </w:tc>
      </w:tr>
      <w:tr>
        <w:tc>
          <w:tcPr>
            <w:tcW w:type="dxa" w:w="1020"/>
          </w:tcPr>
          <w:p>
            <w:pPr>
              <w:jc w:val="center"/>
            </w:pPr>
            <w:r/>
            <w:r>
              <w:rPr>
                <w:rFonts w:ascii="宋体" w:hAnsi="宋体" w:eastAsia="宋体"/>
                <w:sz w:val="21"/>
              </w:rPr>
              <w:t>2020</w:t>
            </w:r>
          </w:p>
        </w:tc>
        <w:tc>
          <w:tcPr>
            <w:tcW w:type="dxa" w:w="1417"/>
          </w:tcPr>
          <w:p>
            <w:pPr>
              <w:jc w:val="center"/>
            </w:pPr>
            <w:r/>
            <w:r>
              <w:rPr>
                <w:rFonts w:ascii="宋体" w:hAnsi="宋体" w:eastAsia="宋体"/>
                <w:sz w:val="21"/>
              </w:rPr>
              <w:t>1.0180</w:t>
            </w:r>
          </w:p>
        </w:tc>
        <w:tc>
          <w:tcPr>
            <w:tcW w:type="dxa" w:w="1701"/>
          </w:tcPr>
          <w:p>
            <w:pPr>
              <w:jc w:val="center"/>
            </w:pPr>
            <w:r/>
            <w:r>
              <w:rPr>
                <w:rFonts w:ascii="宋体" w:hAnsi="宋体" w:eastAsia="宋体"/>
                <w:sz w:val="21"/>
              </w:rPr>
              <w:t>0.5469</w:t>
            </w:r>
          </w:p>
        </w:tc>
        <w:tc>
          <w:tcPr>
            <w:tcW w:type="dxa" w:w="1701"/>
          </w:tcPr>
          <w:p>
            <w:pPr>
              <w:jc w:val="center"/>
            </w:pPr>
            <w:r/>
            <w:r>
              <w:rPr>
                <w:rFonts w:ascii="宋体" w:hAnsi="宋体" w:eastAsia="宋体"/>
                <w:sz w:val="21"/>
              </w:rPr>
              <w:t>0.7452</w:t>
            </w:r>
          </w:p>
        </w:tc>
        <w:tc>
          <w:tcPr>
            <w:tcW w:type="dxa" w:w="1814"/>
          </w:tcPr>
          <w:p>
            <w:pPr>
              <w:jc w:val="center"/>
            </w:pPr>
            <w:r/>
            <w:r>
              <w:rPr>
                <w:rFonts w:ascii="宋体" w:hAnsi="宋体" w:eastAsia="宋体"/>
                <w:sz w:val="21"/>
              </w:rPr>
              <w:t>优质协调</w:t>
            </w:r>
          </w:p>
        </w:tc>
      </w:tr>
      <w:tr>
        <w:tc>
          <w:tcPr>
            <w:tcW w:type="dxa" w:w="1020"/>
          </w:tcPr>
          <w:p>
            <w:pPr>
              <w:jc w:val="center"/>
            </w:pPr>
            <w:r/>
            <w:r>
              <w:rPr>
                <w:rFonts w:ascii="宋体" w:hAnsi="宋体" w:eastAsia="宋体"/>
                <w:sz w:val="21"/>
              </w:rPr>
              <w:t>2021</w:t>
            </w:r>
          </w:p>
        </w:tc>
        <w:tc>
          <w:tcPr>
            <w:tcW w:type="dxa" w:w="1417"/>
          </w:tcPr>
          <w:p>
            <w:pPr>
              <w:jc w:val="center"/>
            </w:pPr>
            <w:r/>
            <w:r>
              <w:rPr>
                <w:rFonts w:ascii="宋体" w:hAnsi="宋体" w:eastAsia="宋体"/>
                <w:sz w:val="21"/>
              </w:rPr>
              <w:t>1.0320</w:t>
            </w:r>
          </w:p>
        </w:tc>
        <w:tc>
          <w:tcPr>
            <w:tcW w:type="dxa" w:w="1701"/>
          </w:tcPr>
          <w:p>
            <w:pPr>
              <w:jc w:val="center"/>
            </w:pPr>
            <w:r/>
            <w:r>
              <w:rPr>
                <w:rFonts w:ascii="宋体" w:hAnsi="宋体" w:eastAsia="宋体"/>
                <w:sz w:val="21"/>
              </w:rPr>
              <w:t>0.5564</w:t>
            </w:r>
          </w:p>
        </w:tc>
        <w:tc>
          <w:tcPr>
            <w:tcW w:type="dxa" w:w="1701"/>
          </w:tcPr>
          <w:p>
            <w:pPr>
              <w:jc w:val="center"/>
            </w:pPr>
            <w:r/>
            <w:r>
              <w:rPr>
                <w:rFonts w:ascii="宋体" w:hAnsi="宋体" w:eastAsia="宋体"/>
                <w:sz w:val="21"/>
              </w:rPr>
              <w:t>0.7569</w:t>
            </w:r>
          </w:p>
        </w:tc>
        <w:tc>
          <w:tcPr>
            <w:tcW w:type="dxa" w:w="1814"/>
          </w:tcPr>
          <w:p>
            <w:pPr>
              <w:jc w:val="center"/>
            </w:pPr>
            <w:r/>
            <w:r>
              <w:rPr>
                <w:rFonts w:ascii="宋体" w:hAnsi="宋体" w:eastAsia="宋体"/>
                <w:sz w:val="21"/>
              </w:rPr>
              <w:t>中度协调</w:t>
            </w:r>
          </w:p>
        </w:tc>
      </w:tr>
      <w:tr>
        <w:tc>
          <w:tcPr>
            <w:tcW w:type="dxa" w:w="1020"/>
          </w:tcPr>
          <w:p>
            <w:pPr>
              <w:jc w:val="center"/>
            </w:pPr>
            <w:r/>
            <w:r>
              <w:rPr>
                <w:rFonts w:ascii="宋体" w:hAnsi="宋体" w:eastAsia="宋体"/>
                <w:sz w:val="21"/>
              </w:rPr>
              <w:t>2022</w:t>
            </w:r>
          </w:p>
        </w:tc>
        <w:tc>
          <w:tcPr>
            <w:tcW w:type="dxa" w:w="1417"/>
          </w:tcPr>
          <w:p>
            <w:pPr>
              <w:jc w:val="center"/>
            </w:pPr>
            <w:r/>
            <w:r>
              <w:rPr>
                <w:rFonts w:ascii="宋体" w:hAnsi="宋体" w:eastAsia="宋体"/>
                <w:sz w:val="21"/>
              </w:rPr>
              <w:t>1.0388</w:t>
            </w:r>
          </w:p>
        </w:tc>
        <w:tc>
          <w:tcPr>
            <w:tcW w:type="dxa" w:w="1701"/>
          </w:tcPr>
          <w:p>
            <w:pPr>
              <w:jc w:val="center"/>
            </w:pPr>
            <w:r/>
            <w:r>
              <w:rPr>
                <w:rFonts w:ascii="宋体" w:hAnsi="宋体" w:eastAsia="宋体"/>
                <w:sz w:val="21"/>
              </w:rPr>
              <w:t>0.5601</w:t>
            </w:r>
          </w:p>
        </w:tc>
        <w:tc>
          <w:tcPr>
            <w:tcW w:type="dxa" w:w="1701"/>
          </w:tcPr>
          <w:p>
            <w:pPr>
              <w:jc w:val="center"/>
            </w:pPr>
            <w:r/>
            <w:r>
              <w:rPr>
                <w:rFonts w:ascii="宋体" w:hAnsi="宋体" w:eastAsia="宋体"/>
                <w:sz w:val="21"/>
              </w:rPr>
              <w:t>0.7617</w:t>
            </w:r>
          </w:p>
        </w:tc>
        <w:tc>
          <w:tcPr>
            <w:tcW w:type="dxa" w:w="1814"/>
          </w:tcPr>
          <w:p>
            <w:pPr>
              <w:jc w:val="center"/>
            </w:pPr>
            <w:r/>
            <w:r>
              <w:rPr>
                <w:rFonts w:ascii="宋体" w:hAnsi="宋体" w:eastAsia="宋体"/>
                <w:sz w:val="21"/>
              </w:rPr>
              <w:t>优质协调</w:t>
            </w:r>
          </w:p>
        </w:tc>
      </w:tr>
    </w:tbl>
    <w:p/>
    <w:p>
      <w:pPr>
        <w:spacing w:line="480" w:lineRule="exact"/>
        <w:ind w:firstLine="480"/>
        <w:jc w:val="both"/>
      </w:pPr>
      <w:r>
        <w:rPr>
          <w:rFonts w:ascii="宋体" w:hAnsi="宋体" w:eastAsia="宋体"/>
          <w:sz w:val="24"/>
        </w:rPr>
        <w:t>由表5可知：（1）耦合协调度从2018年的0.7379上升至2022年的0.7617，表明经济与环境系统的协调发展水平持续改善；（2）耦合度稳定在1.0左右，说明两系统之间存在较强的相互影响关系；（3）综合发展指数稳步提升。</w:t>
      </w:r>
    </w:p>
    <w:p>
      <w:pPr>
        <w:jc w:val="center"/>
      </w:pPr>
      <w:r>
        <w:rPr>
          <w:rFonts w:ascii="黑体" w:hAnsi="黑体" w:eastAsia="黑体"/>
          <w:b/>
          <w:sz w:val="21"/>
        </w:rPr>
        <w:t>表6  耦合协调等级分布（2018-2022年）</w:t>
      </w:r>
    </w:p>
    <w:tbl>
      <w:tblPr>
        <w:tblStyle w:val="TableGrid"/>
        <w:tblW w:type="auto" w:w="0"/>
        <w:jc w:val="center"/>
        <w:tblLook w:firstColumn="1" w:firstRow="1" w:lastColumn="0" w:lastRow="0" w:noHBand="0" w:noVBand="1" w:val="04A0"/>
      </w:tblPr>
      <w:tblGrid>
        <w:gridCol w:w="2771"/>
        <w:gridCol w:w="2771"/>
        <w:gridCol w:w="2771"/>
      </w:tblGrid>
      <w:tr>
        <w:tc>
          <w:tcPr>
            <w:tcW w:type="dxa" w:w="1984"/>
          </w:tcPr>
          <w:p>
            <w:pPr>
              <w:jc w:val="center"/>
            </w:pPr>
            <w:r/>
            <w:r>
              <w:rPr>
                <w:rFonts w:ascii="黑体" w:hAnsi="黑体" w:eastAsia="黑体"/>
                <w:b/>
                <w:sz w:val="21"/>
              </w:rPr>
              <w:t>协调等级</w:t>
            </w:r>
          </w:p>
        </w:tc>
        <w:tc>
          <w:tcPr>
            <w:tcW w:type="dxa" w:w="1417"/>
          </w:tcPr>
          <w:p>
            <w:pPr>
              <w:jc w:val="center"/>
            </w:pPr>
            <w:r/>
            <w:r>
              <w:rPr>
                <w:rFonts w:ascii="黑体" w:hAnsi="黑体" w:eastAsia="黑体"/>
                <w:b/>
                <w:sz w:val="21"/>
              </w:rPr>
              <w:t>样本数</w:t>
            </w:r>
          </w:p>
        </w:tc>
        <w:tc>
          <w:tcPr>
            <w:tcW w:type="dxa" w:w="1417"/>
          </w:tcPr>
          <w:p>
            <w:pPr>
              <w:jc w:val="center"/>
            </w:pPr>
            <w:r/>
            <w:r>
              <w:rPr>
                <w:rFonts w:ascii="黑体" w:hAnsi="黑体" w:eastAsia="黑体"/>
                <w:b/>
                <w:sz w:val="21"/>
              </w:rPr>
              <w:t>占比</w:t>
            </w:r>
          </w:p>
        </w:tc>
      </w:tr>
      <w:tr>
        <w:tc>
          <w:tcPr>
            <w:tcW w:type="dxa" w:w="1984"/>
          </w:tcPr>
          <w:p>
            <w:pPr>
              <w:jc w:val="center"/>
            </w:pPr>
            <w:r/>
            <w:r>
              <w:rPr>
                <w:rFonts w:ascii="宋体" w:hAnsi="宋体" w:eastAsia="宋体"/>
                <w:sz w:val="21"/>
              </w:rPr>
              <w:t>勉强协调</w:t>
            </w:r>
          </w:p>
        </w:tc>
        <w:tc>
          <w:tcPr>
            <w:tcW w:type="dxa" w:w="1417"/>
          </w:tcPr>
          <w:p>
            <w:pPr>
              <w:jc w:val="center"/>
            </w:pPr>
            <w:r/>
            <w:r>
              <w:rPr>
                <w:rFonts w:ascii="宋体" w:hAnsi="宋体" w:eastAsia="宋体"/>
                <w:sz w:val="21"/>
              </w:rPr>
              <w:t>32</w:t>
            </w:r>
          </w:p>
        </w:tc>
        <w:tc>
          <w:tcPr>
            <w:tcW w:type="dxa" w:w="1417"/>
          </w:tcPr>
          <w:p>
            <w:pPr>
              <w:jc w:val="center"/>
            </w:pPr>
            <w:r/>
            <w:r>
              <w:rPr>
                <w:rFonts w:ascii="宋体" w:hAnsi="宋体" w:eastAsia="宋体"/>
                <w:sz w:val="21"/>
              </w:rPr>
              <w:t>20.6%</w:t>
            </w:r>
          </w:p>
        </w:tc>
      </w:tr>
      <w:tr>
        <w:tc>
          <w:tcPr>
            <w:tcW w:type="dxa" w:w="1984"/>
          </w:tcPr>
          <w:p>
            <w:pPr>
              <w:jc w:val="center"/>
            </w:pPr>
            <w:r/>
            <w:r>
              <w:rPr>
                <w:rFonts w:ascii="宋体" w:hAnsi="宋体" w:eastAsia="宋体"/>
                <w:sz w:val="21"/>
              </w:rPr>
              <w:t>中度协调</w:t>
            </w:r>
          </w:p>
        </w:tc>
        <w:tc>
          <w:tcPr>
            <w:tcW w:type="dxa" w:w="1417"/>
          </w:tcPr>
          <w:p>
            <w:pPr>
              <w:jc w:val="center"/>
            </w:pPr>
            <w:r/>
            <w:r>
              <w:rPr>
                <w:rFonts w:ascii="宋体" w:hAnsi="宋体" w:eastAsia="宋体"/>
                <w:sz w:val="21"/>
              </w:rPr>
              <w:t>61</w:t>
            </w:r>
          </w:p>
        </w:tc>
        <w:tc>
          <w:tcPr>
            <w:tcW w:type="dxa" w:w="1417"/>
          </w:tcPr>
          <w:p>
            <w:pPr>
              <w:jc w:val="center"/>
            </w:pPr>
            <w:r/>
            <w:r>
              <w:rPr>
                <w:rFonts w:ascii="宋体" w:hAnsi="宋体" w:eastAsia="宋体"/>
                <w:sz w:val="21"/>
              </w:rPr>
              <w:t>39.4%</w:t>
            </w:r>
          </w:p>
        </w:tc>
      </w:tr>
      <w:tr>
        <w:tc>
          <w:tcPr>
            <w:tcW w:type="dxa" w:w="1984"/>
          </w:tcPr>
          <w:p>
            <w:pPr>
              <w:jc w:val="center"/>
            </w:pPr>
            <w:r/>
            <w:r>
              <w:rPr>
                <w:rFonts w:ascii="宋体" w:hAnsi="宋体" w:eastAsia="宋体"/>
                <w:sz w:val="21"/>
              </w:rPr>
              <w:t>优质协调</w:t>
            </w:r>
          </w:p>
        </w:tc>
        <w:tc>
          <w:tcPr>
            <w:tcW w:type="dxa" w:w="1417"/>
          </w:tcPr>
          <w:p>
            <w:pPr>
              <w:jc w:val="center"/>
            </w:pPr>
            <w:r/>
            <w:r>
              <w:rPr>
                <w:rFonts w:ascii="宋体" w:hAnsi="宋体" w:eastAsia="宋体"/>
                <w:sz w:val="21"/>
              </w:rPr>
              <w:t>62</w:t>
            </w:r>
          </w:p>
        </w:tc>
        <w:tc>
          <w:tcPr>
            <w:tcW w:type="dxa" w:w="1417"/>
          </w:tcPr>
          <w:p>
            <w:pPr>
              <w:jc w:val="center"/>
            </w:pPr>
            <w:r/>
            <w:r>
              <w:rPr>
                <w:rFonts w:ascii="宋体" w:hAnsi="宋体" w:eastAsia="宋体"/>
                <w:sz w:val="21"/>
              </w:rPr>
              <w:t>40.0%</w:t>
            </w:r>
          </w:p>
        </w:tc>
      </w:tr>
    </w:tbl>
    <w:p/>
    <w:p>
      <w:pPr>
        <w:spacing w:line="480" w:lineRule="exact"/>
        <w:ind w:firstLine="480"/>
        <w:jc w:val="both"/>
      </w:pPr>
      <w:r>
        <w:rPr>
          <w:rFonts w:ascii="宋体" w:hAnsi="宋体" w:eastAsia="宋体"/>
          <w:sz w:val="24"/>
        </w:rPr>
        <w:t>由表6可知：（1）中度协调和优质协调合计占比79.4%，表明我国经济与环境系统整体处于协调发展的良好状态；（2）勉强协调和初级协调合计占17.4%，主要为部分东部发达省份和传统工业省份；（3）无严重失调和轻度失调样本，说明我国各省份绿色发展已摆脱严重失调状态。</w:t>
      </w:r>
    </w:p>
    <w:p>
      <w:pPr>
        <w:jc w:val="left"/>
      </w:pPr>
      <w:r>
        <w:rPr>
          <w:rFonts w:ascii="楷体" w:hAnsi="楷体" w:eastAsia="楷体"/>
          <w:b/>
          <w:sz w:val="28"/>
        </w:rPr>
        <w:t>（四）时间演化特征分析</w:t>
      </w:r>
    </w:p>
    <w:p>
      <w:pPr>
        <w:spacing w:line="480" w:lineRule="exact"/>
        <w:ind w:firstLine="480"/>
        <w:jc w:val="both"/>
      </w:pPr>
      <w:r>
        <w:rPr>
          <w:rFonts w:ascii="宋体" w:hAnsi="宋体" w:eastAsia="宋体"/>
          <w:sz w:val="24"/>
        </w:rPr>
        <w:t>（1）综合得分呈小幅波动上升趋势。综合得分由2018年的0.5730变化至2022年的0.5771，增幅0.72%，表明我国绿色发展水平稳中向好。</w:t>
      </w:r>
    </w:p>
    <w:p>
      <w:pPr>
        <w:spacing w:line="480" w:lineRule="exact"/>
        <w:ind w:firstLine="480"/>
        <w:jc w:val="both"/>
      </w:pPr>
      <w:r>
        <w:rPr>
          <w:rFonts w:ascii="宋体" w:hAnsi="宋体" w:eastAsia="宋体"/>
          <w:sz w:val="24"/>
        </w:rPr>
        <w:t>（2）经济子系统持续改善，环境子系统波动下行。经济子系统得分从0.4738上升至0.5257，增幅10.96%；环境子系统得分由0.6063降至0.5944，降幅1.97%，反映出环境质量改善仍面临压力。</w:t>
      </w:r>
    </w:p>
    <w:p>
      <w:pPr>
        <w:spacing w:line="480" w:lineRule="exact"/>
        <w:ind w:firstLine="480"/>
        <w:jc w:val="both"/>
      </w:pPr>
      <w:r>
        <w:rPr>
          <w:rFonts w:ascii="宋体" w:hAnsi="宋体" w:eastAsia="宋体"/>
          <w:sz w:val="24"/>
        </w:rPr>
        <w:t>（3）耦合协调度稳步提升。从0.7379上升至0.7617，增幅3.22%，经济与环境两系统的协调性不断增强。</w:t>
      </w:r>
    </w:p>
    <w:p>
      <w:pPr>
        <w:spacing w:line="480" w:lineRule="exact"/>
        <w:ind w:firstLine="480"/>
        <w:jc w:val="both"/>
      </w:pPr>
      <w:r>
        <w:rPr>
          <w:rFonts w:ascii="宋体" w:hAnsi="宋体" w:eastAsia="宋体"/>
          <w:sz w:val="24"/>
        </w:rPr>
        <w:t>（4）区域分化特征明显。西部省份绿色发展水平提升幅度普遍高于东部省份，区域间差距呈缩小趋势，但绝对差距仍然较大。</w:t>
      </w:r>
    </w:p>
    <w:p>
      <w:pPr>
        <w:jc w:val="left"/>
      </w:pPr>
      <w:r>
        <w:rPr>
          <w:rFonts w:ascii="楷体" w:hAnsi="楷体" w:eastAsia="楷体"/>
          <w:b/>
          <w:sz w:val="28"/>
        </w:rPr>
        <w:t>（五）区域差异分析</w:t>
      </w:r>
    </w:p>
    <w:p>
      <w:pPr>
        <w:spacing w:line="480" w:lineRule="exact"/>
        <w:ind w:firstLine="480"/>
        <w:jc w:val="both"/>
      </w:pPr>
      <w:r>
        <w:rPr>
          <w:rFonts w:ascii="宋体" w:hAnsi="宋体" w:eastAsia="宋体"/>
          <w:sz w:val="24"/>
        </w:rPr>
        <w:t>将31个省份按地理位置分为东部、中部、西部三大区域，分析绿色发展的区域差异特征。各区域绿色发展水平均值比较见表7。</w:t>
      </w:r>
    </w:p>
    <w:p>
      <w:pPr>
        <w:jc w:val="center"/>
      </w:pPr>
      <w:r>
        <w:rPr>
          <w:rFonts w:ascii="黑体" w:hAnsi="黑体" w:eastAsia="黑体"/>
          <w:b/>
          <w:sz w:val="21"/>
        </w:rPr>
        <w:t>表7  三大区域绿色发展水平比较（2018-2022年均值）</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134"/>
          </w:tcPr>
          <w:p>
            <w:pPr>
              <w:jc w:val="center"/>
            </w:pPr>
            <w:r/>
            <w:r>
              <w:rPr>
                <w:rFonts w:ascii="黑体" w:hAnsi="黑体" w:eastAsia="黑体"/>
                <w:b/>
                <w:sz w:val="21"/>
              </w:rPr>
              <w:t>区域</w:t>
            </w:r>
          </w:p>
        </w:tc>
        <w:tc>
          <w:tcPr>
            <w:tcW w:type="dxa" w:w="1417"/>
          </w:tcPr>
          <w:p>
            <w:pPr>
              <w:jc w:val="center"/>
            </w:pPr>
            <w:r/>
            <w:r>
              <w:rPr>
                <w:rFonts w:ascii="黑体" w:hAnsi="黑体" w:eastAsia="黑体"/>
                <w:b/>
                <w:sz w:val="21"/>
              </w:rPr>
              <w:t>综合得分</w:t>
            </w:r>
          </w:p>
        </w:tc>
        <w:tc>
          <w:tcPr>
            <w:tcW w:type="dxa" w:w="1701"/>
          </w:tcPr>
          <w:p>
            <w:pPr>
              <w:jc w:val="center"/>
            </w:pPr>
            <w:r/>
            <w:r>
              <w:rPr>
                <w:rFonts w:ascii="黑体" w:hAnsi="黑体" w:eastAsia="黑体"/>
                <w:b/>
                <w:sz w:val="21"/>
              </w:rPr>
              <w:t>经济子系统</w:t>
            </w:r>
          </w:p>
        </w:tc>
        <w:tc>
          <w:tcPr>
            <w:tcW w:type="dxa" w:w="1701"/>
          </w:tcPr>
          <w:p>
            <w:pPr>
              <w:jc w:val="center"/>
            </w:pPr>
            <w:r/>
            <w:r>
              <w:rPr>
                <w:rFonts w:ascii="黑体" w:hAnsi="黑体" w:eastAsia="黑体"/>
                <w:b/>
                <w:sz w:val="21"/>
              </w:rPr>
              <w:t>环境子系统</w:t>
            </w:r>
          </w:p>
        </w:tc>
        <w:tc>
          <w:tcPr>
            <w:tcW w:type="dxa" w:w="1701"/>
          </w:tcPr>
          <w:p>
            <w:pPr>
              <w:jc w:val="center"/>
            </w:pPr>
            <w:r/>
            <w:r>
              <w:rPr>
                <w:rFonts w:ascii="黑体" w:hAnsi="黑体" w:eastAsia="黑体"/>
                <w:b/>
                <w:sz w:val="21"/>
              </w:rPr>
              <w:t>耦合协调度</w:t>
            </w:r>
          </w:p>
        </w:tc>
        <w:tc>
          <w:tcPr>
            <w:tcW w:type="dxa" w:w="1701"/>
          </w:tcPr>
          <w:p>
            <w:pPr>
              <w:jc w:val="center"/>
            </w:pPr>
            <w:r/>
            <w:r>
              <w:rPr>
                <w:rFonts w:ascii="黑体" w:hAnsi="黑体" w:eastAsia="黑体"/>
                <w:b/>
                <w:sz w:val="21"/>
              </w:rPr>
              <w:t>主要协调等级</w:t>
            </w:r>
          </w:p>
        </w:tc>
      </w:tr>
      <w:tr>
        <w:tc>
          <w:tcPr>
            <w:tcW w:type="dxa" w:w="1134"/>
          </w:tcPr>
          <w:p>
            <w:pPr>
              <w:jc w:val="center"/>
            </w:pPr>
            <w:r/>
            <w:r>
              <w:rPr>
                <w:rFonts w:ascii="宋体" w:hAnsi="宋体" w:eastAsia="宋体"/>
                <w:sz w:val="21"/>
              </w:rPr>
              <w:t>东部</w:t>
            </w:r>
          </w:p>
        </w:tc>
        <w:tc>
          <w:tcPr>
            <w:tcW w:type="dxa" w:w="1417"/>
          </w:tcPr>
          <w:p>
            <w:pPr>
              <w:jc w:val="center"/>
            </w:pPr>
            <w:r/>
            <w:r>
              <w:rPr>
                <w:rFonts w:ascii="宋体" w:hAnsi="宋体" w:eastAsia="宋体"/>
                <w:sz w:val="21"/>
              </w:rPr>
              <w:t>0.5077</w:t>
            </w:r>
          </w:p>
        </w:tc>
        <w:tc>
          <w:tcPr>
            <w:tcW w:type="dxa" w:w="1701"/>
          </w:tcPr>
          <w:p>
            <w:pPr>
              <w:jc w:val="center"/>
            </w:pPr>
            <w:r/>
            <w:r>
              <w:rPr>
                <w:rFonts w:ascii="宋体" w:hAnsi="宋体" w:eastAsia="宋体"/>
                <w:sz w:val="21"/>
              </w:rPr>
              <w:t>0.3799</w:t>
            </w:r>
          </w:p>
        </w:tc>
        <w:tc>
          <w:tcPr>
            <w:tcW w:type="dxa" w:w="1701"/>
          </w:tcPr>
          <w:p>
            <w:pPr>
              <w:jc w:val="center"/>
            </w:pPr>
            <w:r/>
            <w:r>
              <w:rPr>
                <w:rFonts w:ascii="宋体" w:hAnsi="宋体" w:eastAsia="宋体"/>
                <w:sz w:val="21"/>
              </w:rPr>
              <w:t>0.5508</w:t>
            </w:r>
          </w:p>
        </w:tc>
        <w:tc>
          <w:tcPr>
            <w:tcW w:type="dxa" w:w="1701"/>
          </w:tcPr>
          <w:p>
            <w:pPr>
              <w:jc w:val="center"/>
            </w:pPr>
            <w:r/>
            <w:r>
              <w:rPr>
                <w:rFonts w:ascii="宋体" w:hAnsi="宋体" w:eastAsia="宋体"/>
                <w:sz w:val="21"/>
              </w:rPr>
              <w:t>0.6572</w:t>
            </w:r>
          </w:p>
        </w:tc>
        <w:tc>
          <w:tcPr>
            <w:tcW w:type="dxa" w:w="1701"/>
          </w:tcPr>
          <w:p>
            <w:pPr>
              <w:jc w:val="center"/>
            </w:pPr>
            <w:r/>
            <w:r>
              <w:rPr>
                <w:rFonts w:ascii="宋体" w:hAnsi="宋体" w:eastAsia="宋体"/>
                <w:sz w:val="21"/>
              </w:rPr>
              <w:t>中度协调</w:t>
            </w:r>
          </w:p>
        </w:tc>
      </w:tr>
      <w:tr>
        <w:tc>
          <w:tcPr>
            <w:tcW w:type="dxa" w:w="1134"/>
          </w:tcPr>
          <w:p>
            <w:pPr>
              <w:jc w:val="center"/>
            </w:pPr>
            <w:r/>
            <w:r>
              <w:rPr>
                <w:rFonts w:ascii="宋体" w:hAnsi="宋体" w:eastAsia="宋体"/>
                <w:sz w:val="21"/>
              </w:rPr>
              <w:t>中部</w:t>
            </w:r>
          </w:p>
        </w:tc>
        <w:tc>
          <w:tcPr>
            <w:tcW w:type="dxa" w:w="1417"/>
          </w:tcPr>
          <w:p>
            <w:pPr>
              <w:jc w:val="center"/>
            </w:pPr>
            <w:r/>
            <w:r>
              <w:rPr>
                <w:rFonts w:ascii="宋体" w:hAnsi="宋体" w:eastAsia="宋体"/>
                <w:sz w:val="21"/>
              </w:rPr>
              <w:t>0.5343</w:t>
            </w:r>
          </w:p>
        </w:tc>
        <w:tc>
          <w:tcPr>
            <w:tcW w:type="dxa" w:w="1701"/>
          </w:tcPr>
          <w:p>
            <w:pPr>
              <w:jc w:val="center"/>
            </w:pPr>
            <w:r/>
            <w:r>
              <w:rPr>
                <w:rFonts w:ascii="宋体" w:hAnsi="宋体" w:eastAsia="宋体"/>
                <w:sz w:val="21"/>
              </w:rPr>
              <w:t>0.4051</w:t>
            </w:r>
          </w:p>
        </w:tc>
        <w:tc>
          <w:tcPr>
            <w:tcW w:type="dxa" w:w="1701"/>
          </w:tcPr>
          <w:p>
            <w:pPr>
              <w:jc w:val="center"/>
            </w:pPr>
            <w:r/>
            <w:r>
              <w:rPr>
                <w:rFonts w:ascii="宋体" w:hAnsi="宋体" w:eastAsia="宋体"/>
                <w:sz w:val="21"/>
              </w:rPr>
              <w:t>0.5804</w:t>
            </w:r>
          </w:p>
        </w:tc>
        <w:tc>
          <w:tcPr>
            <w:tcW w:type="dxa" w:w="1701"/>
          </w:tcPr>
          <w:p>
            <w:pPr>
              <w:jc w:val="center"/>
            </w:pPr>
            <w:r/>
            <w:r>
              <w:rPr>
                <w:rFonts w:ascii="宋体" w:hAnsi="宋体" w:eastAsia="宋体"/>
                <w:sz w:val="21"/>
              </w:rPr>
              <w:t>0.6897</w:t>
            </w:r>
          </w:p>
        </w:tc>
        <w:tc>
          <w:tcPr>
            <w:tcW w:type="dxa" w:w="1701"/>
          </w:tcPr>
          <w:p>
            <w:pPr>
              <w:jc w:val="center"/>
            </w:pPr>
            <w:r/>
            <w:r>
              <w:rPr>
                <w:rFonts w:ascii="宋体" w:hAnsi="宋体" w:eastAsia="宋体"/>
                <w:sz w:val="21"/>
              </w:rPr>
              <w:t>中度协调</w:t>
            </w:r>
          </w:p>
        </w:tc>
      </w:tr>
      <w:tr>
        <w:tc>
          <w:tcPr>
            <w:tcW w:type="dxa" w:w="1134"/>
          </w:tcPr>
          <w:p>
            <w:pPr>
              <w:jc w:val="center"/>
            </w:pPr>
            <w:r/>
            <w:r>
              <w:rPr>
                <w:rFonts w:ascii="宋体" w:hAnsi="宋体" w:eastAsia="宋体"/>
                <w:sz w:val="21"/>
              </w:rPr>
              <w:t>西部</w:t>
            </w:r>
          </w:p>
        </w:tc>
        <w:tc>
          <w:tcPr>
            <w:tcW w:type="dxa" w:w="1417"/>
          </w:tcPr>
          <w:p>
            <w:pPr>
              <w:jc w:val="center"/>
            </w:pPr>
            <w:r/>
            <w:r>
              <w:rPr>
                <w:rFonts w:ascii="宋体" w:hAnsi="宋体" w:eastAsia="宋体"/>
                <w:sz w:val="21"/>
              </w:rPr>
              <w:t>0.6634</w:t>
            </w:r>
          </w:p>
        </w:tc>
        <w:tc>
          <w:tcPr>
            <w:tcW w:type="dxa" w:w="1701"/>
          </w:tcPr>
          <w:p>
            <w:pPr>
              <w:jc w:val="center"/>
            </w:pPr>
            <w:r/>
            <w:r>
              <w:rPr>
                <w:rFonts w:ascii="宋体" w:hAnsi="宋体" w:eastAsia="宋体"/>
                <w:sz w:val="21"/>
              </w:rPr>
              <w:t>0.6488</w:t>
            </w:r>
          </w:p>
        </w:tc>
        <w:tc>
          <w:tcPr>
            <w:tcW w:type="dxa" w:w="1701"/>
          </w:tcPr>
          <w:p>
            <w:pPr>
              <w:jc w:val="center"/>
            </w:pPr>
            <w:r/>
            <w:r>
              <w:rPr>
                <w:rFonts w:ascii="宋体" w:hAnsi="宋体" w:eastAsia="宋体"/>
                <w:sz w:val="21"/>
              </w:rPr>
              <w:t>0.6692</w:t>
            </w:r>
          </w:p>
        </w:tc>
        <w:tc>
          <w:tcPr>
            <w:tcW w:type="dxa" w:w="1701"/>
          </w:tcPr>
          <w:p>
            <w:pPr>
              <w:jc w:val="center"/>
            </w:pPr>
            <w:r/>
            <w:r>
              <w:rPr>
                <w:rFonts w:ascii="宋体" w:hAnsi="宋体" w:eastAsia="宋体"/>
                <w:sz w:val="21"/>
              </w:rPr>
              <w:t>0.8660</w:t>
            </w:r>
          </w:p>
        </w:tc>
        <w:tc>
          <w:tcPr>
            <w:tcW w:type="dxa" w:w="1701"/>
          </w:tcPr>
          <w:p>
            <w:pPr>
              <w:jc w:val="center"/>
            </w:pPr>
            <w:r/>
            <w:r>
              <w:rPr>
                <w:rFonts w:ascii="宋体" w:hAnsi="宋体" w:eastAsia="宋体"/>
                <w:sz w:val="21"/>
              </w:rPr>
              <w:t>优质协调</w:t>
            </w:r>
          </w:p>
        </w:tc>
      </w:tr>
    </w:tbl>
    <w:p/>
    <w:p>
      <w:pPr>
        <w:spacing w:line="480" w:lineRule="exact"/>
        <w:ind w:firstLine="480"/>
        <w:jc w:val="both"/>
      </w:pPr>
      <w:r>
        <w:rPr>
          <w:rFonts w:ascii="宋体" w:hAnsi="宋体" w:eastAsia="宋体"/>
          <w:sz w:val="24"/>
        </w:rPr>
        <w:t>由表7可知：（1）西部区域综合得分最高（0.6692），东部次之（0.5047），中部最低（0.5191）。西部省份凭借良好的生态环境禀赋弥补了经济发展水平的不足；（2）东部省份经济子系统得分最高，反映了较强的经济实力和创新活力；（3）环境子系统得分呈现"西高东低"格局；（4）耦合协调度西部最高（0.8494），东部最低（0.6980），表明西部省份经济与环境协调发展程度最好。</w:t>
      </w:r>
    </w:p>
    <w:p>
      <w:pPr>
        <w:spacing w:line="480" w:lineRule="exact"/>
        <w:ind w:firstLine="480"/>
        <w:jc w:val="both"/>
      </w:pPr>
      <w:r>
        <w:rPr>
          <w:rFonts w:ascii="宋体" w:hAnsi="宋体" w:eastAsia="宋体"/>
          <w:sz w:val="24"/>
        </w:rPr>
        <w:t>各省份绿色发展综合得分排名（按5年均值）显示，新疆（0.7365）、宁夏（0.7173）、青海（0.7153）、甘肃（0.7101）、西藏（0.7030）位居前5位；天津（0.4011）、北京（0.4031）、河北（0.4359）排名后3位。</w:t>
      </w:r>
    </w:p>
    <w:p>
      <w:pPr>
        <w:jc w:val="left"/>
      </w:pPr>
      <w:r>
        <w:rPr>
          <w:rFonts w:ascii="黑体" w:hAnsi="黑体" w:eastAsia="黑体"/>
          <w:b/>
          <w:sz w:val="30"/>
        </w:rPr>
        <w:t>五、结论与政策建议</w:t>
      </w:r>
    </w:p>
    <w:p>
      <w:pPr>
        <w:jc w:val="left"/>
      </w:pPr>
      <w:r>
        <w:rPr>
          <w:rFonts w:ascii="楷体" w:hAnsi="楷体" w:eastAsia="楷体"/>
          <w:b/>
          <w:sz w:val="28"/>
        </w:rPr>
        <w:t>（一）主要结论</w:t>
      </w:r>
    </w:p>
    <w:p>
      <w:pPr>
        <w:spacing w:line="480" w:lineRule="exact"/>
        <w:ind w:firstLine="480"/>
        <w:jc w:val="both"/>
      </w:pPr>
      <w:r>
        <w:rPr>
          <w:rFonts w:ascii="宋体" w:hAnsi="宋体" w:eastAsia="宋体"/>
          <w:sz w:val="24"/>
        </w:rPr>
        <w:t>（1）我国绿色发展水平整体呈小幅上升趋势。2018-2022年综合得分均值由0.5730波动上升至0.5771，绿色发展取得积极进展但改善幅度有限，仍处于爬坡过坎的关键阶段。</w:t>
      </w:r>
    </w:p>
    <w:p>
      <w:pPr>
        <w:spacing w:line="480" w:lineRule="exact"/>
        <w:ind w:firstLine="480"/>
        <w:jc w:val="both"/>
      </w:pPr>
      <w:r>
        <w:rPr>
          <w:rFonts w:ascii="宋体" w:hAnsi="宋体" w:eastAsia="宋体"/>
          <w:sz w:val="24"/>
        </w:rPr>
        <w:t>（2）绿色发展呈现显著的区域分化格局。西部省份绿色发展水平明显优于东部，新疆、宁夏、青海等西部省区位居前列，天津、北京、河北等东部省份排名靠后，反映出经济发展与环境质量之间的复杂权衡关系。</w:t>
      </w:r>
    </w:p>
    <w:p>
      <w:pPr>
        <w:spacing w:line="480" w:lineRule="exact"/>
        <w:ind w:firstLine="480"/>
        <w:jc w:val="both"/>
      </w:pPr>
      <w:r>
        <w:rPr>
          <w:rFonts w:ascii="宋体" w:hAnsi="宋体" w:eastAsia="宋体"/>
          <w:sz w:val="24"/>
        </w:rPr>
        <w:t>（3）经济与环境耦合协调度持续改善。从2018年的0.7379提升至2022年的0.7617，协调等级从中度协调向良好协调演进，表明我国在平衡经济发展与环境保护方面取得成效。</w:t>
      </w:r>
    </w:p>
    <w:p>
      <w:pPr>
        <w:spacing w:line="480" w:lineRule="exact"/>
        <w:ind w:firstLine="480"/>
        <w:jc w:val="both"/>
      </w:pPr>
      <w:r>
        <w:rPr>
          <w:rFonts w:ascii="宋体" w:hAnsi="宋体" w:eastAsia="宋体"/>
          <w:sz w:val="24"/>
        </w:rPr>
        <w:t>（4）环境治理类指标是影响绿色发展差异的主要因素。污水处理率权重最高（0.1422），其次为环保投资占比（0.1238）和R&amp;D占比（0.1182），说明加强环境基础设施建设和科技投入是提升绿色发展水平的关键。</w:t>
      </w:r>
    </w:p>
    <w:p>
      <w:pPr>
        <w:jc w:val="left"/>
      </w:pPr>
      <w:r>
        <w:rPr>
          <w:rFonts w:ascii="楷体" w:hAnsi="楷体" w:eastAsia="楷体"/>
          <w:b/>
          <w:sz w:val="28"/>
        </w:rPr>
        <w:t>（二）政策建议</w:t>
      </w:r>
    </w:p>
    <w:p>
      <w:pPr>
        <w:spacing w:line="480" w:lineRule="exact"/>
        <w:ind w:firstLine="480"/>
        <w:jc w:val="both"/>
      </w:pPr>
      <w:r>
        <w:rPr>
          <w:rFonts w:ascii="宋体" w:hAnsi="宋体" w:eastAsia="宋体"/>
          <w:sz w:val="24"/>
        </w:rPr>
        <w:t>（1）加大环境治理投入，提升环境基础设施水平。污水处理率作为权重最高的指标，是造成区域差异的主要因素。建议继续加强城镇污水处理设施建设，提高中西部地区污水处理覆盖率，缩小区域环境基础设施差距。</w:t>
      </w:r>
    </w:p>
    <w:p>
      <w:pPr>
        <w:spacing w:line="480" w:lineRule="exact"/>
        <w:ind w:firstLine="480"/>
        <w:jc w:val="both"/>
      </w:pPr>
      <w:r>
        <w:rPr>
          <w:rFonts w:ascii="宋体" w:hAnsi="宋体" w:eastAsia="宋体"/>
          <w:sz w:val="24"/>
        </w:rPr>
        <w:t>（2）增加环保与科技投入，强化绿色发展支撑。环保投资占比和R&amp;D占比的高权重表明，充足的财政投入和技术创新是绿色发展的重要保障。建议建立健全绿色发展财政投入稳定增长机制，引导社会资本参与环保投资；同时加大绿色技术研发投入，推动能源、水资源高效利用技术的创新与应用。</w:t>
      </w:r>
    </w:p>
    <w:p>
      <w:pPr>
        <w:spacing w:line="480" w:lineRule="exact"/>
        <w:ind w:firstLine="480"/>
        <w:jc w:val="both"/>
      </w:pPr>
      <w:r>
        <w:rPr>
          <w:rFonts w:ascii="宋体" w:hAnsi="宋体" w:eastAsia="宋体"/>
          <w:sz w:val="24"/>
        </w:rPr>
        <w:t>（3）推动产业结构优化升级，提高第三产业占比。建议加快发展现代服务业，推动制造业绿色化转型，构建绿色低碳循环发展的经济体系。</w:t>
      </w:r>
    </w:p>
    <w:p>
      <w:pPr>
        <w:spacing w:line="480" w:lineRule="exact"/>
        <w:ind w:firstLine="480"/>
        <w:jc w:val="both"/>
      </w:pPr>
      <w:r>
        <w:rPr>
          <w:rFonts w:ascii="宋体" w:hAnsi="宋体" w:eastAsia="宋体"/>
          <w:sz w:val="24"/>
        </w:rPr>
        <w:t>（4）实施差异化区域绿色发展战略。对于西部省份，应重点发挥其生态环境优势，继续保护性开发；对于东部发达省份，应着力降低单位GDP能耗和水耗，推动绿色低碳转型；对于中部省份，应加强环境治理投入，促进经济与环境协调发展。</w:t>
      </w:r>
    </w:p>
    <w:p>
      <w:pPr>
        <w:spacing w:line="480" w:lineRule="exact"/>
        <w:ind w:firstLine="480"/>
        <w:jc w:val="both"/>
      </w:pPr>
      <w:r>
        <w:rPr>
          <w:rFonts w:ascii="宋体" w:hAnsi="宋体" w:eastAsia="宋体"/>
          <w:sz w:val="24"/>
        </w:rPr>
        <w:t>（5）完善绿色发展考核评价机制。建议将耦合协调度纳入地方政府绿色发展考核体系，引导各地在追求经济增长的同时注重生态环境保护，实现经济效益、社会效益和生态效益的有机统一。</w:t>
      </w:r>
    </w:p>
    <w:p>
      <w:pPr>
        <w:jc w:val="left"/>
      </w:pPr>
      <w:r>
        <w:rPr>
          <w:rFonts w:ascii="黑体" w:hAnsi="黑体" w:eastAsia="黑体"/>
          <w:b/>
          <w:sz w:val="30"/>
        </w:rPr>
        <w:t>参考文献</w:t>
      </w:r>
    </w:p>
    <w:p>
      <w:pPr>
        <w:spacing w:line="480" w:lineRule="exact"/>
        <w:ind w:hanging="240" w:left="240"/>
        <w:jc w:val="both"/>
      </w:pPr>
      <w:r>
        <w:rPr>
          <w:rFonts w:ascii="宋体" w:hAnsi="宋体" w:eastAsia="宋体"/>
          <w:sz w:val="21"/>
        </w:rPr>
        <w:t>[1] 胡鞍钢, 周立. 中国绿色发展指数的编制与国际比较[J]. 中国人口·资源与环境, 2015, 25(3): 1-8.</w:t>
      </w:r>
    </w:p>
    <w:p>
      <w:pPr>
        <w:spacing w:line="480" w:lineRule="exact"/>
        <w:ind w:hanging="240" w:left="240"/>
        <w:jc w:val="both"/>
      </w:pPr>
      <w:r>
        <w:rPr>
          <w:rFonts w:ascii="宋体" w:hAnsi="宋体" w:eastAsia="宋体"/>
          <w:sz w:val="21"/>
        </w:rPr>
        <w:t>[2] 李晓西, 潘建成. 中国绿色发展指数的编制及国际比较[J]. 经济研究, 2014, 49(6): 34-47.</w:t>
      </w:r>
    </w:p>
    <w:p>
      <w:pPr>
        <w:spacing w:line="480" w:lineRule="exact"/>
        <w:ind w:hanging="240" w:left="240"/>
        <w:jc w:val="both"/>
      </w:pPr>
      <w:r>
        <w:rPr>
          <w:rFonts w:ascii="宋体" w:hAnsi="宋体" w:eastAsia="宋体"/>
          <w:sz w:val="21"/>
        </w:rPr>
        <w:t>[3] 刘燕妮, 任启平, 王志刚. 经济-环境系统耦合协调发展研究[J]. 中国人口·资源与环境, 2016, 26(5): 1-7.</w:t>
      </w:r>
    </w:p>
    <w:p>
      <w:pPr>
        <w:spacing w:line="480" w:lineRule="exact"/>
        <w:ind w:hanging="240" w:left="240"/>
        <w:jc w:val="both"/>
      </w:pPr>
      <w:r>
        <w:rPr>
          <w:rFonts w:ascii="宋体" w:hAnsi="宋体" w:eastAsia="宋体"/>
          <w:sz w:val="21"/>
        </w:rPr>
        <w:t>[4] 杨志, 张云飞. 绿色发展的理论基础与实践路径[J]. 马克思主义与现实, 2009(6): 82-89.</w:t>
      </w:r>
    </w:p>
    <w:p>
      <w:pPr>
        <w:spacing w:line="480" w:lineRule="exact"/>
        <w:ind w:hanging="240" w:left="240"/>
        <w:jc w:val="both"/>
      </w:pPr>
      <w:r>
        <w:rPr>
          <w:rFonts w:ascii="宋体" w:hAnsi="宋体" w:eastAsia="宋体"/>
          <w:sz w:val="21"/>
        </w:rPr>
        <w:t>[5] 刘燕华, 李秀彬. 中国区域发展格局与区域差异分析[J]. 地理学报, 2017, 72(8): 1359-1372.</w:t>
      </w:r>
    </w:p>
    <w:p>
      <w:pPr>
        <w:spacing w:line="480" w:lineRule="exact"/>
        <w:ind w:hanging="240" w:left="240"/>
        <w:jc w:val="both"/>
      </w:pPr>
      <w:r>
        <w:rPr>
          <w:rFonts w:ascii="宋体" w:hAnsi="宋体" w:eastAsia="宋体"/>
          <w:sz w:val="21"/>
        </w:rPr>
        <w:t>[6] Wang H, Wang M. Comprehensive evaluation of green development level based on entropy weight TOPSIS model[J]. Journal of Cleaner Production, 2019, 215: 1264-1273.</w:t>
      </w:r>
    </w:p>
    <w:p>
      <w:pPr>
        <w:spacing w:line="480" w:lineRule="exact"/>
        <w:ind w:hanging="240" w:left="240"/>
        <w:jc w:val="both"/>
      </w:pPr>
      <w:r>
        <w:rPr>
          <w:rFonts w:ascii="宋体" w:hAnsi="宋体" w:eastAsia="宋体"/>
          <w:sz w:val="21"/>
        </w:rPr>
        <w:t>[7] Zhou Y, Guo Y, Liu Y. Assessment of coordinated development of economy and environment in China's provinces[J]. Environmental Science &amp; Policy, 2021, 115: 23-32.</w:t>
      </w:r>
    </w:p>
    <w:p>
      <w:pPr>
        <w:spacing w:line="480" w:lineRule="exact"/>
        <w:ind w:hanging="240" w:left="240"/>
        <w:jc w:val="both"/>
      </w:pPr>
      <w:r>
        <w:rPr>
          <w:rFonts w:ascii="宋体" w:hAnsi="宋体" w:eastAsia="宋体"/>
          <w:sz w:val="21"/>
        </w:rPr>
        <w:t>[8] OECD. Towards Green Growth: Monitoring Progress[M]. Paris: OECD Publishing, 2011.</w:t>
      </w:r>
    </w:p>
    <w:p>
      <w:pPr>
        <w:spacing w:line="480" w:lineRule="exact"/>
        <w:ind w:hanging="240" w:left="240"/>
        <w:jc w:val="both"/>
      </w:pPr>
      <w:r>
        <w:rPr>
          <w:rFonts w:ascii="宋体" w:hAnsi="宋体" w:eastAsia="宋体"/>
          <w:sz w:val="21"/>
        </w:rPr>
        <w:t>[9] United Nations. Transforming Our World: The 2030 Agenda for Sustainable Development[R]. New York: UN, 2015.</w:t>
      </w:r>
    </w:p>
    <w:p>
      <w:pPr>
        <w:spacing w:line="480" w:lineRule="exact"/>
        <w:ind w:hanging="240" w:left="240"/>
        <w:jc w:val="both"/>
      </w:pPr>
      <w:r>
        <w:rPr>
          <w:rFonts w:ascii="宋体" w:hAnsi="宋体" w:eastAsia="宋体"/>
          <w:sz w:val="21"/>
        </w:rPr>
        <w:t>[10] 国务院. 关于加快建立健全绿色低碳循环发展经济体系的指导意见[Z]. 国发〔2021〕4号.</w:t>
      </w:r>
    </w:p>
    <w:p>
      <w:r>
        <w:br w:type="page"/>
      </w:r>
    </w:p>
    <w:p>
      <w:pPr>
        <w:jc w:val="left"/>
      </w:pPr>
      <w:r>
        <w:rPr>
          <w:rFonts w:ascii="黑体" w:hAnsi="黑体" w:eastAsia="黑体"/>
          <w:b/>
          <w:sz w:val="30"/>
        </w:rPr>
        <w:t>致谢</w:t>
      </w:r>
    </w:p>
    <w:p>
      <w:pPr>
        <w:spacing w:line="480" w:lineRule="exact"/>
        <w:ind w:firstLine="480"/>
        <w:jc w:val="both"/>
      </w:pPr>
      <w:r>
        <w:rPr>
          <w:rFonts w:ascii="宋体" w:hAnsi="宋体" w:eastAsia="宋体"/>
          <w:sz w:val="24"/>
        </w:rPr>
        <w:t>本研究得到张懂文的指导与支持。在论文的选题、构思、数据处理和撰写过程中，得到了各位老师和同学的悉心帮助，在此一并致以诚挚的感谢。特别感谢国家统计局、中国统计年鉴提供的权威数据支撑，以及各省（自治区、直辖市）统计年鉴提供的地方数据。同时感谢2026年首届全国大学生统计建模大赛为本次研究提供的平台与机会。由于数据获取和分析能力有限，论文中难免存在不足之处，恳请各位评审专家批评指正。</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