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Programming is very much a student-centred activity: Students learn it by having a set of hardware and software and continually trying to complete set activities.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We suggest that you spend the first lesson or two introducing students to the concepts of microcontrollers and to the hardware and software they will be using. With this in mind, we have given you a number of videos and PowerPoint presentations to help you.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Then you need to make sure that every student knows how to use the hardware and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 microcontroller courses include a series of worksheets that students work through. For most of these students load an example in Flowcode and are then asked to modify it. Starting from a working example minimises the problems that students can have getting programs working for the first time.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Many worksheets include a video. You can either let students watch these at their own pace, or you can have them as a whole class activity at the beginning of a lesson.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 Introduction to Microcontrollers course takes up to 60 hours of time to complete. Other courses are shorter. In our courses we have also included Homework and some Assessments.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All of the resources we provide are editable: you can modify them all.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So the pattern of learning 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Introductory lessons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Introductory videos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Worksheet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Worksheet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Homework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Worksheet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Worksheet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Assessment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Worksheet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Worksheet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Etc.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Whilst this is student-centered we anticipate that you will be present in class to help students with problems they have.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