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b w:val="1"/>
          <w:bCs w:val="1"/>
          <w:highlight w:val="white"/>
        </w:rPr>
      </w:pPr>
      <w:r w:rsidDel="00000000" w:rsidR="00000000" w:rsidRPr="00000000">
        <w:rPr>
          <w:b w:val="1"/>
          <w:bCs w:val="1"/>
          <w:highlight w:val="white"/>
          <w:rtl w:val="0"/>
        </w:rPr>
        <w:t xml:space="preserve">Homework 1xx</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First program</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Performing calculations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Digital inputs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Using connection points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Make sure that you can replicate the examples from scratch. This make sure that you understand them.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brief:</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a program that controls two sets of traffic lights at a junction.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Hardware: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Upstream board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Use a Combo board on port A and Port B where the connections to the traffic lights are represented by:</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0 GREEN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1 AMBER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2 RED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0 GREEN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1 AMBER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2 RED</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Software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Create a panel in Flowcode with the two sets of lights in the appropriate colour. You can do this using the single LED component. You can carry out this program in simulation and then try it on the hardware next time you are in class.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the program so that the lights at the junction control the traffic in an appropriate sequence of:</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RED: 20 seconds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AMBER: 3 seconds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GREEN: 20 seconds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When there is RED at one set of lights there must be GREEN at the other.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