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4F6FB"/>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In the last few screens you have learned about Flowcode and E-blocks. Hopefully you have a basic grasp of how the equipment works and where to look for more information.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The next step is that you need to try the equipment for yourself and understand how the worksheets structure the students’ learning and will help you learn how to use Flowcode and E-blocks.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In the following screens we will present you with the first 4 worksheets that students follow. We recommend that you take the time to go through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widowControl w:val="0"/>
        <w:spacing w:line="39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37.600003147125" w:line="288.0000114440918" w:lineRule="auto"/>
    </w:pPr>
    <w:rPr>
      <w:b w:val="1"/>
      <w:bCs w:val="1"/>
      <w:i w:val="0"/>
      <w:iCs w:val="0"/>
      <w:color w:val="0f2358"/>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10.00000163912773" w:before="440.0000065565109" w:lineRule="auto"/>
    </w:pPr>
    <w:rPr>
      <w:b w:val="1"/>
      <w:bCs w:val="1"/>
      <w:i w:val="0"/>
      <w:iCs w:val="0"/>
      <w:color w:val="1d4ed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1.28000566482555" w:before="308.8800009441371" w:lineRule="auto"/>
    </w:pPr>
    <w:rPr>
      <w:b w:val="1"/>
      <w:bCs w:val="1"/>
      <w:i w:val="0"/>
      <w:iCs w:val="0"/>
      <w:color w:val="2d4166"/>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