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sz w:val="36"/>
        </w:rPr>
        <w:t>软件工程课程设计文档</w:t>
      </w:r>
    </w:p>
    <w:p>
      <w:pPr>
        <w:spacing w:before="720"/>
        <w:jc w:val="center"/>
      </w:pPr>
      <w:r>
        <w:rPr>
          <w:rFonts w:ascii="Times New Roman" w:hAnsi="Times New Roman" w:eastAsia="黑体"/>
          <w:b/>
          <w:sz w:val="40"/>
        </w:rPr>
        <w:t>基于 Web 的学校部门财务管理系统</w:t>
      </w:r>
    </w:p>
    <w:p>
      <w:pPr>
        <w:spacing w:before="360"/>
        <w:jc w:val="center"/>
      </w:pPr>
      <w:r>
        <w:rPr>
          <w:rFonts w:ascii="Times New Roman" w:hAnsi="Times New Roman" w:eastAsia="黑体"/>
          <w:b/>
          <w:sz w:val="40"/>
        </w:rPr>
        <w:t>测试计划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sz w:val="28"/>
        </w:rPr>
        <w:t>版本：V1.0</w:t>
      </w:r>
    </w:p>
    <w:p>
      <w:pPr>
        <w:spacing w:before="360"/>
        <w:jc w:val="center"/>
      </w:pPr>
      <w:r>
        <w:rPr>
          <w:rFonts w:ascii="Times New Roman" w:hAnsi="Times New Roman" w:eastAsia="宋体"/>
          <w:b w:val="0"/>
          <w:sz w:val="28"/>
        </w:rPr>
        <w:t>2026 年 6 月 19 日</w:t>
      </w:r>
    </w:p>
    <w:p>
      <w:pPr>
        <w:sectPr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目录</w:t>
      </w:r>
    </w:p>
    <w:p>
      <w:fldSimple w:instr="TOC \o &quot;1-3&quot; \h \z \u">
        <w:r>
          <w:t>目录将在打开文档后自动更新</w:t>
        </w:r>
      </w:fldSimple>
    </w:p>
    <w:p>
      <w:r>
        <w:br w:type="page"/>
      </w:r>
    </w:p>
    <w:p>
      <w:pPr>
        <w:pStyle w:val="Heading1"/>
      </w:pPr>
      <w:r>
        <w:t>测试计划</w:t>
      </w:r>
    </w:p>
    <w:p>
      <w:pPr>
        <w:pStyle w:val="Heading2"/>
      </w:pPr>
      <w:r>
        <w:t>1. 文档目的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本文档用于明确财务管理系统测试活动的目标、范围、策略、资源安排、进度计划与准入准出标准，作为测试执行、缺陷跟踪和测试总结的管理依据。</w:t>
      </w:r>
    </w:p>
    <w:p>
      <w:pPr>
        <w:pStyle w:val="Heading2"/>
      </w:pPr>
      <w:r>
        <w:t>2. 测试依据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《需求规格说明书-财务管理系统》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《概要设计-财务管理系统》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《详细设计-财务管理系统》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当前前后端源码与数据库脚本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《测试用例-财务管理系统》</w:t>
      </w:r>
    </w:p>
    <w:p>
      <w:pPr>
        <w:pStyle w:val="Heading2"/>
      </w:pPr>
      <w:r>
        <w:t>3. 测试目标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验证系统核心功能是否满足需求说明。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验证管理员与财务员两类角色的权限边界是否正确。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验证数据录入、统计查询、备份恢复等关键流程是否完整可用。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验证系统在课程设计演示环境下可以稳定启动、构建和展示。</w:t>
      </w:r>
    </w:p>
    <w:p>
      <w:pPr>
        <w:pStyle w:val="Heading2"/>
      </w:pPr>
      <w:r>
        <w:t>4. 测试范围</w:t>
      </w:r>
    </w:p>
    <w:p>
      <w:pPr>
        <w:pStyle w:val="Heading3"/>
      </w:pPr>
      <w:r>
        <w:t>4.1 范围内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登录与退出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用户管理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部门管理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账户管理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收入类别管理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支出类别管理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收入记录管理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支出记录管理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财务统计与报表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数据备份与恢复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前端构建与后端基础编译验证</w:t>
      </w:r>
    </w:p>
    <w:p>
      <w:pPr>
        <w:pStyle w:val="Heading3"/>
      </w:pPr>
      <w:r>
        <w:t>4.2 范围外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高并发压测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大规模数据量专项测试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第三方系统集成测试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多浏览器兼容性深度验证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生产部署与运维监控测试</w:t>
      </w:r>
    </w:p>
    <w:p>
      <w:pPr>
        <w:pStyle w:val="Heading2"/>
      </w:pPr>
      <w:r>
        <w:t>5. 测试策略</w:t>
      </w:r>
    </w:p>
    <w:p>
      <w:pPr>
        <w:pStyle w:val="Heading3"/>
      </w:pPr>
      <w:r>
        <w:t>5.1 测试类型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测试类型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功能测试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验证需求功能是否实现正确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以页面操作和接口响应为主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权限测试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验证角色访问边界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重点检查菜单、页面与接口入口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数据校验测试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验证金额、日期、状态及主数据引用规则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覆盖正常值、空值和非法值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报表测试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验证统计口径与筛选条件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重点覆盖周报、月报、年报、自定义区间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构建验证测试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验证工程可编译和可打包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 `mvn test` 与 `npm run build`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回归测试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验证缺陷修复后主流程未受影响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聚焦登录、录入、查询、备份四条主链路</w:t>
            </w:r>
          </w:p>
        </w:tc>
      </w:tr>
    </w:tbl>
    <w:p/>
    <w:p>
      <w:pPr>
        <w:pStyle w:val="Heading3"/>
      </w:pPr>
      <w:r>
        <w:t>5.2 测试方法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手工黑盒测试为主，依据需求和页面行为设计用例。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使用等价类、边界值、场景法和权限矩阵法设计测试项。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对后端采用构建级验证，确认源码可编译、依赖完整。</w:t>
      </w:r>
    </w:p>
    <w:p>
      <w:pPr>
        <w:pStyle w:val="Heading2"/>
      </w:pPr>
      <w:r>
        <w:t>6.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环境配置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Linux 开发环境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Node.js、npm、Vite、Vue 3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JDK 17、Maven、Spring Boot 3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 8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浏览器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Chrome / Edge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测试数据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`11-数据库/财务管理系统.sql` 初始化数据</w:t>
            </w:r>
          </w:p>
        </w:tc>
      </w:tr>
    </w:tbl>
    <w:p/>
    <w:p>
      <w:pPr>
        <w:pStyle w:val="Heading2"/>
      </w:pPr>
      <w:r>
        <w:t>7. 测试资源与分工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项目负责人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确认测试范围、审核测试结果、推进缺陷关闭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开发人员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修复缺陷、配合定位问题、提供版本说明</w:t>
            </w:r>
          </w:p>
        </w:tc>
      </w:tr>
      <w:tr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测试执行人员</w:t>
            </w:r>
          </w:p>
        </w:tc>
        <w:tc>
          <w:tcPr>
            <w:tcW w:type="dxa" w:w="4156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执行测试用例、记录结果、整理截图和日志</w:t>
            </w:r>
          </w:p>
        </w:tc>
      </w:tr>
    </w:tbl>
    <w:p/>
    <w:p>
      <w:pPr>
        <w:pStyle w:val="Heading2"/>
      </w:pPr>
      <w:r>
        <w:t>8. 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工作内容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输出物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用例准备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2026-06-14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明确测试范围、整理测试数据、编写测试用例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测试计划、测试设计、测试用例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第一轮功能测试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2026-06-17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执行登录、主数据、收支、报表、备份主流程测试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缺陷记录、截图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回归与补测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2026-06-18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对修复项和边界项进行再次验证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测试跟踪日志</w:t>
            </w:r>
          </w:p>
        </w:tc>
      </w:tr>
      <w:tr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构建与交付验证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2026-06-19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执行后端 `mvn test`、前端依赖安装和构建验证</w:t>
            </w:r>
          </w:p>
        </w:tc>
        <w:tc>
          <w:tcPr>
            <w:tcW w:type="dxa" w:w="2078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测试分析报告、提交手册</w:t>
            </w:r>
          </w:p>
        </w:tc>
      </w:tr>
    </w:tbl>
    <w:p/>
    <w:p>
      <w:pPr>
        <w:pStyle w:val="Heading2"/>
      </w:pPr>
      <w:r>
        <w:t>9. 准入准出标准</w:t>
      </w:r>
    </w:p>
    <w:p>
      <w:pPr>
        <w:pStyle w:val="Heading3"/>
      </w:pPr>
      <w:r>
        <w:t>9.1 测试准入标准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需求、设计和页面清单已经基本稳定。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数据库脚本可以完成初始化。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前后端代码具备可启动或可构建的基本条件。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核心测试用例已经整理完成。</w:t>
      </w:r>
    </w:p>
    <w:p>
      <w:pPr>
        <w:pStyle w:val="Heading3"/>
      </w:pPr>
      <w:r>
        <w:t>9.2 测试准出标准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核心功能用例执行完成率达到 100%。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严重和高优先级缺陷关闭或有明确规避方案。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主流程“登录 -&gt; 录入 -&gt; 报表 -&gt; 备份”可以连续演示。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主要文档、日志和截图已经归档。</w:t>
      </w:r>
    </w:p>
    <w:p>
      <w:pPr>
        <w:pStyle w:val="Heading2"/>
      </w:pPr>
      <w:r>
        <w:t>10. 缺陷管理规则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定义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处理要求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P1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阻断主流程，无法演示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必须优先修复并回归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P2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功能异常但有替代路径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在结项前修复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P3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文案、样式或轻微体验问题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可集中修订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P4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建议优化项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记录到后续改进清单</w:t>
            </w:r>
          </w:p>
        </w:tc>
      </w:tr>
    </w:tbl>
    <w:p/>
    <w:p>
      <w:pPr>
        <w:pStyle w:val="Heading2"/>
      </w:pPr>
      <w:r>
        <w:t>11.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风险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应对措施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前端依赖未安装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无法执行构建或启动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提前执行 `npm install` 并记录依赖版本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数据初始化不完整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页面无数据或报表为空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统一使用 SQL 初始化脚本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权限口径理解不一致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测试结果反复变更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先以需求文档中的权限矩阵为准</w:t>
            </w:r>
          </w:p>
        </w:tc>
      </w:tr>
      <w:tr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文档与代码脱节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答辩时出现描述不一致</w:t>
            </w:r>
          </w:p>
        </w:tc>
        <w:tc>
          <w:tcPr>
            <w:tcW w:type="dxa" w:w="2771"/>
            <w:vAlign w:val="center"/>
          </w:tcPr>
          <w:p>
            <w:pPr>
              <w:spacing w:line="36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测试后同步更新文档与日志</w:t>
            </w:r>
          </w:p>
        </w:tc>
      </w:tr>
    </w:tbl>
    <w:p/>
    <w:p>
      <w:pPr>
        <w:pStyle w:val="Heading2"/>
      </w:pPr>
      <w:r>
        <w:t>12. 测试输出物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测试计划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测试设计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测试用例与截图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测试跟踪日志</w:t>
      </w:r>
    </w:p>
    <w:p>
      <w:pPr>
        <w:spacing w:line="360" w:lineRule="auto" w:before="0" w:after="0"/>
        <w:ind w:left="480" w:firstLine="0"/>
      </w:pPr>
      <w:r>
        <w:rPr>
          <w:rFonts w:ascii="Times New Roman" w:hAnsi="Times New Roman" w:eastAsia="宋体"/>
          <w:b w:val="0"/>
          <w:sz w:val="24"/>
        </w:rPr>
        <w:t>• 测试分析报告</w:t>
      </w:r>
    </w:p>
    <w:p>
      <w:pPr>
        <w:pStyle w:val="Heading2"/>
      </w:pPr>
      <w:r>
        <w:t>13. 结论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sz w:val="24"/>
        </w:rPr>
        <w:t>本测试计划以课程设计演示成功为目标，采用“小范围、重主流程、重可追踪”的策略，确保系统在有限周期内达到可验证、可归档和可答辩的交付标准。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