
<file path=[Content_Types].xml><?xml version="1.0" encoding="utf-8"?>
<Types xmlns="http://schemas.openxmlformats.org/package/2006/content-types">
  <Override ContentType="application/vnd.openxmlformats-officedocument.wordprocessingml.footnotes+xml" PartName="/word/footnotes.xml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tyles+xml" PartName="/word/styles.xml"/>
  <Override ContentType="application/vnd.openxmlformats-officedocument.wordprocessingml.endnotes+xml" PartName="/word/endnotes.xml"/>
  <Override ContentType="application/vnd.openxmlformats-officedocument.extended-properties+xml" PartName="/docProps/app.xml"/>
  <Override ContentType="application/vnd.openxmlformats-officedocument.wordprocessingml.settings+xml" PartName="/word/settings.xml"/>
  <Override ContentType="application/vnd.openxmlformats-officedocument.wordprocessingml.footer+xml" PartName="/word/footer1.xml"/>
  <Override ContentType="application/vnd.openxmlformats-officedocument.theme+xml" PartName="/word/theme/theme1.xml"/>
  <Override ContentType="application/vnd.openxmlformats-officedocument.wordprocessingml.fontTable+xml" PartName="/word/fontTable.xml"/>
  <Override ContentType="application/vnd.openxmlformats-officedocument.wordprocessingml.webSettings+xml" PartName="/word/webSettings.xml"/>
  <Override ContentType="application/vnd.openxmlformats-officedocument.wordprocessingml.header+xml" PartName="/word/header1.xml"/>
  <Override ContentType="application/vnd.openxmlformats-package.core-properties+xml" PartName="/docProps/core.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body>
    <w:p/>
    <w:p/>
    <w:p/>
    <w:p/>
    <w:p>
      <w:pPr>
        <w:pStyle w:val="ReportInformation"/>
        <w:jc w:val="center"/>
      </w:pPr>
      <w:r>
        <w:t>Epics Report</w:t>
      </w:r>
    </w:p>
    <w:p>
      <w:pPr>
        <w:pStyle w:val="ReportInformation"/>
      </w:pPr>
      <w:r>
        <w:drawing>
          <wp:inline distB="0" distL="0" distR="0" distT="0">
            <wp:extent cx="3390900" cy="88900"/>
            <wp:effectExtent b="0" l="0" r="0" t="0"/>
            <wp:docPr id="1" name="Imag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>
      <w:pPr>
        <w:pStyle w:val="ReportInformation"/>
        <w:jc w:val="center"/>
      </w:pPr>
      <w:r>
        <w:t>
				</w:t>
      </w:r>
    </w:p>
    <w:p>
      <w:pPr>
        <w:pStyle w:val="ReportInformation"/>
        <w:jc w:val="center"/>
        <w:sectPr>
          <w:pgSz w:h="16837" w:w="11905"/>
          <w:pgMar w:bottom="720" w:gutter="0" w:left="720" w:right="720" w:top="720"/>
          <w:pgNumType w:start="1"/>
          <w:pgBorders w:offsetFrom="page">
            <w:top w:color="1569BC" w:space="24" w:sz="18" w:val="single"/>
            <w:left w:color="1569BC" w:space="24" w:sz="18" w:val="single"/>
            <w:bottom w:color="1569BC" w:space="24" w:sz="18" w:val="single"/>
            <w:right w:color="1569BC" w:space="24" w:sz="18" w:val="single"/>
          </w:pgBorders>
          <w:cols w:space="720"/>
          <w:docGrid w:linePitch="360"/>
        </w:sectPr>
      </w:pPr>
      <w:r>
        <w:t>
				</w:t>
      </w:r>
    </w:p>
    <w:p>
      <w:pPr>
        <w:pStyle w:val="Heading1"/>
      </w:pPr>
      <w:r>
        <w:rPr>
          <w:rFonts w:ascii="Times New Roman" w:cs="Times New Roman" w:eastAsia="Times New Roman" w:hAnsi="Times New Roman"/>
          <w:sz w:val="32"/>
          <w:b/>
        </w:rPr>
        <w:t xml:space="preserve">1. Epics</w:t>
      </w:r>
    </w:p>
    <w:tbl>
      <w:tblPr>
        <w:tblStyle w:val="ETLTable"/>
        <w:tblW w:type="auto" w:w="0"/>
        <w:tblLayout w:type="fixed"/>
        <w:tblInd w:type="dxa" w:w="0"/>
        <w:tblLook w:firstColumn="1" w:firstRow="1" w:lastColumn="0" w:lastRow="0" w:noHBand="0" w:noVBand="1"/>
      </w:tblPr>
      <w:tblGrid>
        <w:gridCol w:w="3020"/>
        <w:gridCol w:w="4300"/>
        <w:gridCol w:w="1000"/>
        <w:gridCol w:w="800"/>
        <w:gridCol w:w="780"/>
      </w:tblGrid>
      <w:tr>
        <w:trPr>
          <w:tblHeader/>
        </w:trPr>
        <w:tc>
          <w:tcPr>
            <w:tcW w:type="dxa" w:w="3020.0"/>
          </w:tcPr>
          <w:p>
            <w:pPr/>
            <w:r>
              <w:rPr>
                <w:b/>
                <w:sz w:val="24"/>
              </w:rPr>
              <w:t>Name</w:t>
            </w:r>
          </w:p>
        </w:tc>
        <w:tc>
          <w:tcPr>
            <w:tcW w:type="dxa" w:w="4300.0"/>
          </w:tcPr>
          <w:p>
            <w:pPr/>
            <w:r>
              <w:rPr>
                <w:b/>
                <w:sz w:val="24"/>
              </w:rPr>
              <w:t>Description</w:t>
            </w:r>
          </w:p>
        </w:tc>
        <w:tc>
          <w:tcPr>
            <w:tcW w:type="dxa" w:w="1000.0"/>
          </w:tcPr>
          <w:p>
            <w:pPr/>
            <w:r>
              <w:rPr>
                <w:b/>
                <w:sz w:val="24"/>
              </w:rPr>
              <w:t>Parent Use Case</w:t>
            </w:r>
          </w:p>
        </w:tc>
        <w:tc>
          <w:tcPr>
            <w:tcW w:type="dxa" w:w="800.0"/>
          </w:tcPr>
          <w:p>
            <w:pPr/>
            <w:r>
              <w:rPr>
                <w:b/>
                <w:sz w:val="24"/>
              </w:rPr>
              <w:t>Priority</w:t>
            </w:r>
          </w:p>
        </w:tc>
        <w:tc>
          <w:tcPr>
            <w:tcW w:type="dxa" w:w="780.0"/>
          </w:tcPr>
          <w:p>
            <w:pPr/>
            <w:r>
              <w:rPr>
                <w:b/>
                <w:sz w:val="24"/>
              </w:rPr>
              <w:t>Risk</w:t>
            </w:r>
          </w:p>
        </w:tc>
      </w:tr>
      <w:tr>
        <w:tc>
          <w:tcPr>
            <w:tcW w:type="dxa" w:w="3020.0"/>
          </w:tcPr>
          <w:p>
            <w:pPr/>
            <w:r>
              <w:t>Analiza potrzebnych środków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Oszacowanie surowców potrzebych do budowy  automatow paczkowych</w:t>
            </w:r>
          </w:p>
        </w:tc>
        <w:tc>
          <w:tcPr>
            <w:tcW w:type="dxa" w:w="800.0"/>
          </w:tcPr>
          <w:p>
            <w:pPr/>
            <w:r>
              <w:t>Must</w:t>
            </w:r>
          </w:p>
        </w:tc>
        <w:tc>
          <w:tcPr>
            <w:tcW w:type="dxa" w:w="780.0"/>
          </w:tcPr>
          <w:p>
            <w:pPr/>
            <w:r>
              <w:t>High</w:t>
            </w:r>
          </w:p>
        </w:tc>
      </w:tr>
      <w:tr>
        <w:tc>
          <w:tcPr>
            <w:tcW w:type="dxa" w:w="3020.0"/>
          </w:tcPr>
          <w:p>
            <w:pPr/>
            <w:r>
              <w:t>Kosztorys projektu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Oszacowanie surowców potrzebych do budowy  automatow paczkowych</w:t>
            </w:r>
          </w:p>
        </w:tc>
        <w:tc>
          <w:tcPr>
            <w:tcW w:type="dxa" w:w="800.0"/>
          </w:tcPr>
          <w:p>
            <w:pPr/>
            <w:r>
              <w:t>Must</w:t>
            </w:r>
          </w:p>
        </w:tc>
        <w:tc>
          <w:tcPr>
            <w:tcW w:type="dxa" w:w="780.0"/>
          </w:tcPr>
          <w:p>
            <w:pPr/>
            <w:r>
              <w:t>High</w:t>
            </w:r>
          </w:p>
        </w:tc>
      </w:tr>
      <w:tr>
        <w:tc>
          <w:tcPr>
            <w:tcW w:type="dxa" w:w="3020.0"/>
          </w:tcPr>
          <w:p>
            <w:pPr/>
            <w:r>
              <w:t>Monitorowanie realizacji umowy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Monitorowanie realizacji umowy - po podpisaniu umowy specjaliści ds. zakupów monitorują, czy dostawca realizuje ją zgodnie z ustalonymi warunkami.</w:t>
            </w:r>
          </w:p>
        </w:tc>
        <w:tc>
          <w:tcPr>
            <w:tcW w:type="dxa" w:w="800.0"/>
          </w:tcPr>
          <w:p>
            <w:pPr/>
            <w:r>
              <w:t>Must</w:t>
            </w:r>
          </w:p>
        </w:tc>
        <w:tc>
          <w:tcPr>
            <w:tcW w:type="dxa" w:w="780.0"/>
          </w:tcPr>
          <w:p>
            <w:pPr/>
            <w:r>
              <w:t>Medium</w:t>
            </w:r>
          </w:p>
        </w:tc>
      </w:tr>
      <w:tr>
        <w:tc>
          <w:tcPr>
            <w:tcW w:type="dxa" w:w="3020.0"/>
          </w:tcPr>
          <w:p>
            <w:pPr/>
            <w:r>
              <w:t>Napisz opinie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General Activity</w:t>
            </w:r>
          </w:p>
        </w:tc>
        <w:tc>
          <w:tcPr>
            <w:tcW w:type="dxa" w:w="800.0"/>
          </w:tcPr>
          <w:p>
            <w:pPr/>
            <w:r>
              <w:t>Should</w:t>
            </w:r>
          </w:p>
        </w:tc>
        <w:tc>
          <w:tcPr>
            <w:tcW w:type="dxa" w:w="780.0"/>
          </w:tcPr>
          <w:p>
            <w:pPr/>
            <w:r>
              <w:t>Low</w:t>
            </w:r>
          </w:p>
        </w:tc>
      </w:tr>
      <w:tr>
        <w:tc>
          <w:tcPr>
            <w:tcW w:type="dxa" w:w="3020.0"/>
          </w:tcPr>
          <w:p>
            <w:pPr/>
            <w:r>
              <w:t>Odpowiedz na pytania użytkownika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Odpowiedz na pytania użytkownika</w:t>
            </w:r>
          </w:p>
        </w:tc>
        <w:tc>
          <w:tcPr>
            <w:tcW w:type="dxa" w:w="800.0"/>
          </w:tcPr>
          <w:p>
            <w:pPr/>
            <w:r>
              <w:t>Should</w:t>
            </w:r>
          </w:p>
        </w:tc>
        <w:tc>
          <w:tcPr>
            <w:tcW w:type="dxa" w:w="780.0"/>
          </w:tcPr>
          <w:p>
            <w:pPr/>
            <w:r>
              <w:t>Low</w:t>
            </w:r>
          </w:p>
        </w:tc>
      </w:tr>
      <w:tr>
        <w:tc>
          <w:tcPr>
            <w:tcW w:type="dxa" w:w="3020.0"/>
          </w:tcPr>
          <w:p>
            <w:pPr/>
            <w:r>
              <w:t>Opłać przesyłkę</w:t>
            </w:r>
          </w:p>
        </w:tc>
        <w:tc>
          <w:tcPr>
            <w:tcW w:type="dxa" w:w="4300.0"/>
          </w:tcPr>
          <w:p>
            <w:pPr/>
            <w:r>
              <w:t xml:space="preserve">Użytkownik może opłacić przesyłkę</w:t>
            </w:r>
          </w:p>
        </w:tc>
        <w:tc>
          <w:tcPr>
            <w:tcW w:type="dxa" w:w="1000.0"/>
          </w:tcPr>
          <w:p>
            <w:pPr/>
            <w:r>
              <w:t>Opłać przesyłkę</w:t>
            </w:r>
          </w:p>
        </w:tc>
        <w:tc>
          <w:tcPr>
            <w:tcW w:type="dxa" w:w="800.0"/>
          </w:tcPr>
          <w:p>
            <w:pPr/>
            <w:r>
              <w:t>Must</w:t>
            </w:r>
          </w:p>
        </w:tc>
        <w:tc>
          <w:tcPr>
            <w:tcW w:type="dxa" w:w="780.0"/>
          </w:tcPr>
          <w:p>
            <w:pPr/>
            <w:r>
              <w:t>Medium</w:t>
            </w:r>
          </w:p>
        </w:tc>
      </w:tr>
      <w:tr>
        <w:tc>
          <w:tcPr>
            <w:tcW w:type="dxa" w:w="3020.0"/>
          </w:tcPr>
          <w:p>
            <w:pPr/>
            <w:r>
              <w:t>Podpisanie umowy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Zawieranie umowy - specjaliści ds. zakupów negocjują warunki umowy z wybranym dostawcą i zawierają umowę na surowce.</w:t>
            </w:r>
          </w:p>
        </w:tc>
        <w:tc>
          <w:tcPr>
            <w:tcW w:type="dxa" w:w="800.0"/>
          </w:tcPr>
          <w:p>
            <w:pPr/>
            <w:r>
              <w:t>Must</w:t>
            </w:r>
          </w:p>
        </w:tc>
        <w:tc>
          <w:tcPr>
            <w:tcW w:type="dxa" w:w="780.0"/>
          </w:tcPr>
          <w:p>
            <w:pPr/>
            <w:r>
              <w:t>Medium</w:t>
            </w:r>
          </w:p>
        </w:tc>
      </w:tr>
      <w:tr>
        <w:tc>
          <w:tcPr>
            <w:tcW w:type="dxa" w:w="3020.0"/>
          </w:tcPr>
          <w:p>
            <w:pPr/>
            <w:r>
              <w:t>Podpisanie umowy z dostawcą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Wybór dostawcy - na podstawie wyników negocjacji i analizy ofert wybierają dostawcę, który oferuje najkorzystniejsze warunki.</w:t>
            </w:r>
          </w:p>
        </w:tc>
        <w:tc>
          <w:tcPr>
            <w:tcW w:type="dxa" w:w="800.0"/>
          </w:tcPr>
          <w:p>
            <w:pPr/>
            <w:r>
              <w:t>Must</w:t>
            </w:r>
          </w:p>
        </w:tc>
        <w:tc>
          <w:tcPr>
            <w:tcW w:type="dxa" w:w="780.0"/>
          </w:tcPr>
          <w:p>
            <w:pPr/>
            <w:r>
              <w:t>Medium</w:t>
            </w:r>
          </w:p>
        </w:tc>
      </w:tr>
      <w:tr>
        <w:tc>
          <w:tcPr>
            <w:tcW w:type="dxa" w:w="3020.0"/>
          </w:tcPr>
          <w:p>
            <w:pPr/>
            <w:r>
              <w:t>Przetargi i negocjacje umów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Zawieranie umowy - specjaliści ds. zakupów negocjują warunki umowy z wybranym dostawcą i zawierają umowę na surowce.</w:t>
            </w:r>
          </w:p>
        </w:tc>
        <w:tc>
          <w:tcPr>
            <w:tcW w:type="dxa" w:w="800.0"/>
          </w:tcPr>
          <w:p>
            <w:pPr/>
            <w:r>
              <w:t>Must</w:t>
            </w:r>
          </w:p>
        </w:tc>
        <w:tc>
          <w:tcPr>
            <w:tcW w:type="dxa" w:w="780.0"/>
          </w:tcPr>
          <w:p>
            <w:pPr/>
            <w:r>
              <w:t>High</w:t>
            </w:r>
          </w:p>
        </w:tc>
      </w:tr>
      <w:tr>
        <w:tc>
          <w:tcPr>
            <w:tcW w:type="dxa" w:w="3020.0"/>
          </w:tcPr>
          <w:p>
            <w:pPr/>
            <w:r>
              <w:t>Przetarg na wybór dostawcy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Wybór dostawcy - na podstawie wyników negocjacji i analizy ofert wybierają dostawcę, który oferuje najkorzystniejsze warunki.</w:t>
            </w:r>
          </w:p>
        </w:tc>
        <w:tc>
          <w:tcPr>
            <w:tcW w:type="dxa" w:w="800.0"/>
          </w:tcPr>
          <w:p>
            <w:pPr/>
            <w:r>
              <w:t>Must</w:t>
            </w:r>
          </w:p>
        </w:tc>
        <w:tc>
          <w:tcPr>
            <w:tcW w:type="dxa" w:w="780.0"/>
          </w:tcPr>
          <w:p>
            <w:pPr/>
            <w:r>
              <w:t>Medium</w:t>
            </w:r>
          </w:p>
        </w:tc>
      </w:tr>
      <w:tr>
        <w:tc>
          <w:tcPr>
            <w:tcW w:type="dxa" w:w="3020.0"/>
          </w:tcPr>
          <w:p>
            <w:pPr/>
            <w:r>
              <w:t>Skontaktuj się z pomocą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Skontaktuj się z pomocą</w:t>
            </w:r>
          </w:p>
        </w:tc>
        <w:tc>
          <w:tcPr>
            <w:tcW w:type="dxa" w:w="800.0"/>
          </w:tcPr>
          <w:p>
            <w:pPr/>
            <w:r>
              <w:t>Should</w:t>
            </w:r>
          </w:p>
        </w:tc>
        <w:tc>
          <w:tcPr>
            <w:tcW w:type="dxa" w:w="780.0"/>
          </w:tcPr>
          <w:p>
            <w:pPr/>
            <w:r>
              <w:t>Medium</w:t>
            </w:r>
          </w:p>
        </w:tc>
      </w:tr>
      <w:tr>
        <w:tc>
          <w:tcPr>
            <w:tcW w:type="dxa" w:w="3020.0"/>
          </w:tcPr>
          <w:p>
            <w:pPr/>
            <w:r>
              <w:t>Śledź paczkę</w:t>
            </w:r>
          </w:p>
        </w:tc>
        <w:tc>
          <w:tcPr>
            <w:tcW w:type="dxa" w:w="4300.0"/>
          </w:tcPr>
          <w:p>
            <w:pPr/>
            <w:r>
              <w:t xml:space="preserve">Użytkownik może śledzić paczkę</w:t>
            </w:r>
          </w:p>
        </w:tc>
        <w:tc>
          <w:tcPr>
            <w:tcW w:type="dxa" w:w="1000.0"/>
          </w:tcPr>
          <w:p>
            <w:pPr/>
            <w:r>
              <w:t>Śledź paczkę</w:t>
            </w:r>
          </w:p>
        </w:tc>
        <w:tc>
          <w:tcPr>
            <w:tcW w:type="dxa" w:w="800.0"/>
          </w:tcPr>
          <w:p>
            <w:pPr/>
            <w:r>
              <w:t>Should</w:t>
            </w:r>
          </w:p>
        </w:tc>
        <w:tc>
          <w:tcPr>
            <w:tcW w:type="dxa" w:w="780.0"/>
          </w:tcPr>
          <w:p>
            <w:pPr/>
            <w:r>
              <w:t>High</w:t>
            </w:r>
          </w:p>
        </w:tc>
      </w:tr>
      <w:tr>
        <w:tc>
          <w:tcPr>
            <w:tcW w:type="dxa" w:w="3020.0"/>
          </w:tcPr>
          <w:p>
            <w:pPr/>
            <w:r>
              <w:t>Sprawdź obciążenie strony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Sprawdź obciążenie strony</w:t>
            </w:r>
          </w:p>
        </w:tc>
        <w:tc>
          <w:tcPr>
            <w:tcW w:type="dxa" w:w="800.0"/>
          </w:tcPr>
          <w:p>
            <w:pPr/>
            <w:r>
              <w:t>Could</w:t>
            </w:r>
          </w:p>
        </w:tc>
        <w:tc>
          <w:tcPr>
            <w:tcW w:type="dxa" w:w="780.0"/>
          </w:tcPr>
          <w:p>
            <w:pPr/>
            <w:r>
              <w:t>Medium</w:t>
            </w:r>
          </w:p>
        </w:tc>
      </w:tr>
      <w:tr>
        <w:tc>
          <w:tcPr>
            <w:tcW w:type="dxa" w:w="3020.0"/>
          </w:tcPr>
          <w:p>
            <w:pPr/>
            <w:r>
              <w:t>Usuń komentarz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Usuń komentarz</w:t>
            </w:r>
          </w:p>
        </w:tc>
        <w:tc>
          <w:tcPr>
            <w:tcW w:type="dxa" w:w="800.0"/>
          </w:tcPr>
          <w:p>
            <w:pPr/>
            <w:r>
              <w:t>Could</w:t>
            </w:r>
          </w:p>
        </w:tc>
        <w:tc>
          <w:tcPr>
            <w:tcW w:type="dxa" w:w="780.0"/>
          </w:tcPr>
          <w:p>
            <w:pPr/>
            <w:r>
              <w:t>Low</w:t>
            </w:r>
          </w:p>
        </w:tc>
      </w:tr>
      <w:tr>
        <w:tc>
          <w:tcPr>
            <w:tcW w:type="dxa" w:w="3020.0"/>
          </w:tcPr>
          <w:p>
            <w:pPr/>
            <w:r>
              <w:t>Wybierz czas przerwy technicznej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Zrób przerwę techniczną</w:t>
            </w:r>
          </w:p>
        </w:tc>
        <w:tc>
          <w:tcPr>
            <w:tcW w:type="dxa" w:w="800.0"/>
          </w:tcPr>
          <w:p>
            <w:pPr/>
            <w:r>
              <w:t>Must</w:t>
            </w:r>
          </w:p>
        </w:tc>
        <w:tc>
          <w:tcPr>
            <w:tcW w:type="dxa" w:w="780.0"/>
          </w:tcPr>
          <w:p>
            <w:pPr/>
            <w:r>
              <w:t>Low</w:t>
            </w:r>
          </w:p>
        </w:tc>
      </w:tr>
      <w:tr>
        <w:tc>
          <w:tcPr>
            <w:tcW w:type="dxa" w:w="3020.0"/>
          </w:tcPr>
          <w:p>
            <w:pPr/>
            <w:r>
              <w:t>Wybierz formę dostawy</w:t>
            </w:r>
          </w:p>
        </w:tc>
        <w:tc>
          <w:tcPr>
            <w:tcW w:type="dxa" w:w="4300.0"/>
          </w:tcPr>
          <w:p>
            <w:pPr/>
            <w:r>
              <w:t xml:space="preserve">Użytkownik może wybrać formę dostawy</w:t>
            </w:r>
          </w:p>
        </w:tc>
        <w:tc>
          <w:tcPr>
            <w:tcW w:type="dxa" w:w="1000.0"/>
          </w:tcPr>
          <w:p>
            <w:pPr/>
            <w:r>
              <w:t>Nadaj paczkę</w:t>
            </w:r>
          </w:p>
        </w:tc>
        <w:tc>
          <w:tcPr>
            <w:tcW w:type="dxa" w:w="800.0"/>
          </w:tcPr>
          <w:p>
            <w:pPr/>
            <w:r>
              <w:t>Must</w:t>
            </w:r>
          </w:p>
        </w:tc>
        <w:tc>
          <w:tcPr>
            <w:tcW w:type="dxa" w:w="780.0"/>
          </w:tcPr>
          <w:p>
            <w:pPr/>
            <w:r>
              <w:t>Low</w:t>
            </w:r>
          </w:p>
        </w:tc>
      </w:tr>
      <w:tr>
        <w:tc>
          <w:tcPr>
            <w:tcW w:type="dxa" w:w="3020.0"/>
          </w:tcPr>
          <w:p>
            <w:pPr/>
            <w:r>
              <w:t>Wybierz formę kontaktu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Skontaktuj się z pomocą</w:t>
            </w:r>
          </w:p>
        </w:tc>
        <w:tc>
          <w:tcPr>
            <w:tcW w:type="dxa" w:w="800.0"/>
          </w:tcPr>
          <w:p>
            <w:pPr/>
            <w:r>
              <w:t>Should</w:t>
            </w:r>
          </w:p>
        </w:tc>
        <w:tc>
          <w:tcPr>
            <w:tcW w:type="dxa" w:w="780.0"/>
          </w:tcPr>
          <w:p>
            <w:pPr/>
            <w:r>
              <w:t>Low</w:t>
            </w:r>
          </w:p>
        </w:tc>
      </w:tr>
      <w:tr>
        <w:tc>
          <w:tcPr>
            <w:tcW w:type="dxa" w:w="3020.0"/>
          </w:tcPr>
          <w:p>
            <w:pPr/>
            <w:r>
              <w:t>Wybierz formę płatności</w:t>
            </w:r>
          </w:p>
        </w:tc>
        <w:tc>
          <w:tcPr>
            <w:tcW w:type="dxa" w:w="4300.0"/>
          </w:tcPr>
          <w:p>
            <w:pPr/>
            <w:r>
              <w:t xml:space="preserve">Użytkownik może wybrać opcję płatności</w:t>
            </w:r>
          </w:p>
        </w:tc>
        <w:tc>
          <w:tcPr>
            <w:tcW w:type="dxa" w:w="1000.0"/>
          </w:tcPr>
          <w:p>
            <w:pPr/>
            <w:r>
              <w:t>Opłać przesyłkę</w:t>
            </w:r>
          </w:p>
        </w:tc>
        <w:tc>
          <w:tcPr>
            <w:tcW w:type="dxa" w:w="800.0"/>
          </w:tcPr>
          <w:p>
            <w:pPr/>
            <w:r>
              <w:t>Should</w:t>
            </w:r>
          </w:p>
        </w:tc>
        <w:tc>
          <w:tcPr>
            <w:tcW w:type="dxa" w:w="780.0"/>
          </w:tcPr>
          <w:p>
            <w:pPr/>
            <w:r>
              <w:t>Low</w:t>
            </w:r>
          </w:p>
        </w:tc>
      </w:tr>
      <w:tr>
        <w:tc>
          <w:tcPr>
            <w:tcW w:type="dxa" w:w="3020.0"/>
          </w:tcPr>
          <w:p>
            <w:pPr/>
            <w:r>
              <w:t>Wybierz formę zwrotu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Zwróć Paczkę</w:t>
            </w:r>
          </w:p>
        </w:tc>
        <w:tc>
          <w:tcPr>
            <w:tcW w:type="dxa" w:w="800.0"/>
          </w:tcPr>
          <w:p>
            <w:pPr/>
            <w:r>
              <w:t>Should</w:t>
            </w:r>
          </w:p>
        </w:tc>
        <w:tc>
          <w:tcPr>
            <w:tcW w:type="dxa" w:w="780.0"/>
          </w:tcPr>
          <w:p>
            <w:pPr/>
            <w:r>
              <w:t>Low</w:t>
            </w:r>
          </w:p>
        </w:tc>
      </w:tr>
      <w:tr>
        <w:tc>
          <w:tcPr>
            <w:tcW w:type="dxa" w:w="3020.0"/>
          </w:tcPr>
          <w:p>
            <w:pPr/>
            <w:r>
              <w:t>Wybierz formy powiadomień</w:t>
            </w:r>
          </w:p>
        </w:tc>
        <w:tc>
          <w:tcPr>
            <w:tcW w:type="dxa" w:w="4300.0"/>
          </w:tcPr>
          <w:p>
            <w:pPr/>
            <w:r>
              <w:t xml:space="preserve">Użytkownik może wybrać formy powiadomienia (sms lub/oraz mail)</w:t>
            </w:r>
          </w:p>
        </w:tc>
        <w:tc>
          <w:tcPr>
            <w:tcW w:type="dxa" w:w="1000.0"/>
          </w:tcPr>
          <w:p>
            <w:pPr/>
            <w:r>
              <w:t>Włącz powiadomienia</w:t>
            </w:r>
          </w:p>
        </w:tc>
        <w:tc>
          <w:tcPr>
            <w:tcW w:type="dxa" w:w="800.0"/>
          </w:tcPr>
          <w:p>
            <w:pPr/>
            <w:r>
              <w:t>Could</w:t>
            </w:r>
          </w:p>
        </w:tc>
        <w:tc>
          <w:tcPr>
            <w:tcW w:type="dxa" w:w="780.0"/>
          </w:tcPr>
          <w:p>
            <w:pPr/>
            <w:r>
              <w:t>Low</w:t>
            </w:r>
          </w:p>
        </w:tc>
      </w:tr>
      <w:tr>
        <w:tc>
          <w:tcPr>
            <w:tcW w:type="dxa" w:w="3020.0"/>
          </w:tcPr>
          <w:p>
            <w:pPr/>
            <w:r>
              <w:t>Wybierz maksymalną wagę przesyłki</w:t>
            </w:r>
          </w:p>
        </w:tc>
        <w:tc>
          <w:tcPr>
            <w:tcW w:type="dxa" w:w="4300.0"/>
          </w:tcPr>
          <w:p>
            <w:pPr/>
            <w:r>
              <w:t xml:space="preserve">Użytkownik może wybrać maksymalną wagę przesyłki</w:t>
            </w:r>
          </w:p>
        </w:tc>
        <w:tc>
          <w:tcPr>
            <w:tcW w:type="dxa" w:w="1000.0"/>
          </w:tcPr>
          <w:p>
            <w:pPr/>
            <w:r>
              <w:t>Nadaj paczkę</w:t>
            </w:r>
          </w:p>
        </w:tc>
        <w:tc>
          <w:tcPr>
            <w:tcW w:type="dxa" w:w="800.0"/>
          </w:tcPr>
          <w:p>
            <w:pPr/>
            <w:r>
              <w:t>Could</w:t>
            </w:r>
          </w:p>
        </w:tc>
        <w:tc>
          <w:tcPr>
            <w:tcW w:type="dxa" w:w="780.0"/>
          </w:tcPr>
          <w:p>
            <w:pPr/>
            <w:r>
              <w:t>Low</w:t>
            </w:r>
          </w:p>
        </w:tc>
      </w:tr>
      <w:tr>
        <w:tc>
          <w:tcPr>
            <w:tcW w:type="dxa" w:w="3020.0"/>
          </w:tcPr>
          <w:p>
            <w:pPr/>
            <w:r>
              <w:t>Wybierz motyw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Zmień Motyw na Ciemny/Jasny</w:t>
            </w:r>
          </w:p>
        </w:tc>
        <w:tc>
          <w:tcPr>
            <w:tcW w:type="dxa" w:w="800.0"/>
          </w:tcPr>
          <w:p>
            <w:pPr/>
            <w:r>
              <w:t>Should</w:t>
            </w:r>
          </w:p>
        </w:tc>
        <w:tc>
          <w:tcPr>
            <w:tcW w:type="dxa" w:w="780.0"/>
          </w:tcPr>
          <w:p>
            <w:pPr/>
            <w:r>
              <w:t>Low</w:t>
            </w:r>
          </w:p>
        </w:tc>
      </w:tr>
      <w:tr>
        <w:tc>
          <w:tcPr>
            <w:tcW w:type="dxa" w:w="3020.0"/>
          </w:tcPr>
          <w:p>
            <w:pPr/>
            <w:r>
              <w:t>Wybierz paczkę do zwrotu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Zwróć Paczkę</w:t>
            </w:r>
          </w:p>
        </w:tc>
        <w:tc>
          <w:tcPr>
            <w:tcW w:type="dxa" w:w="800.0"/>
          </w:tcPr>
          <w:p>
            <w:pPr/>
            <w:r>
              <w:t>Should</w:t>
            </w:r>
          </w:p>
        </w:tc>
        <w:tc>
          <w:tcPr>
            <w:tcW w:type="dxa" w:w="780.0"/>
          </w:tcPr>
          <w:p>
            <w:pPr/>
            <w:r>
              <w:t>Low</w:t>
            </w:r>
          </w:p>
        </w:tc>
      </w:tr>
      <w:tr>
        <w:tc>
          <w:tcPr>
            <w:tcW w:type="dxa" w:w="3020.0"/>
          </w:tcPr>
          <w:p>
            <w:pPr/>
            <w:r>
              <w:t>Wybierz użytkownika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Zablokuj użytkownika</w:t>
            </w:r>
          </w:p>
        </w:tc>
        <w:tc>
          <w:tcPr>
            <w:tcW w:type="dxa" w:w="800.0"/>
          </w:tcPr>
          <w:p>
            <w:pPr/>
            <w:r>
              <w:t>Should</w:t>
            </w:r>
          </w:p>
        </w:tc>
        <w:tc>
          <w:tcPr>
            <w:tcW w:type="dxa" w:w="780.0"/>
          </w:tcPr>
          <w:p>
            <w:pPr/>
            <w:r>
              <w:t>Low</w:t>
            </w:r>
          </w:p>
        </w:tc>
      </w:tr>
      <w:tr>
        <w:tc>
          <w:tcPr>
            <w:tcW w:type="dxa" w:w="3020.0"/>
          </w:tcPr>
          <w:p>
            <w:pPr/>
            <w:r>
              <w:t>Wybierz wymiary przesyłki</w:t>
            </w:r>
          </w:p>
        </w:tc>
        <w:tc>
          <w:tcPr>
            <w:tcW w:type="dxa" w:w="4300.0"/>
          </w:tcPr>
          <w:p>
            <w:pPr/>
            <w:r>
              <w:t xml:space="preserve">Użytkownik może wybrać wymiary przesyłki</w:t>
            </w:r>
          </w:p>
        </w:tc>
        <w:tc>
          <w:tcPr>
            <w:tcW w:type="dxa" w:w="1000.0"/>
          </w:tcPr>
          <w:p>
            <w:pPr/>
            <w:r>
              <w:t>Nadaj paczkę</w:t>
            </w:r>
          </w:p>
        </w:tc>
        <w:tc>
          <w:tcPr>
            <w:tcW w:type="dxa" w:w="800.0"/>
          </w:tcPr>
          <w:p>
            <w:pPr/>
            <w:r>
              <w:t>Could</w:t>
            </w:r>
          </w:p>
        </w:tc>
        <w:tc>
          <w:tcPr>
            <w:tcW w:type="dxa" w:w="780.0"/>
          </w:tcPr>
          <w:p>
            <w:pPr/>
            <w:r>
              <w:t>Low</w:t>
            </w:r>
          </w:p>
        </w:tc>
      </w:tr>
      <w:tr>
        <w:tc>
          <w:tcPr>
            <w:tcW w:type="dxa" w:w="3020.0"/>
          </w:tcPr>
          <w:p>
            <w:pPr/>
            <w:r>
              <w:t>Wyślij powiadomienia użytkownikom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Zrób przerwę techniczną</w:t>
            </w:r>
          </w:p>
        </w:tc>
        <w:tc>
          <w:tcPr>
            <w:tcW w:type="dxa" w:w="800.0"/>
          </w:tcPr>
          <w:p>
            <w:pPr/>
            <w:r>
              <w:t>Should</w:t>
            </w:r>
          </w:p>
        </w:tc>
        <w:tc>
          <w:tcPr>
            <w:tcW w:type="dxa" w:w="780.0"/>
          </w:tcPr>
          <w:p>
            <w:pPr/>
            <w:r>
              <w:t>Medium</w:t>
            </w:r>
          </w:p>
        </w:tc>
      </w:tr>
      <w:tr>
        <w:tc>
          <w:tcPr>
            <w:tcW w:type="dxa" w:w="3020.0"/>
          </w:tcPr>
          <w:p>
            <w:pPr/>
            <w:r>
              <w:t>Wyświetl cenę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Wyświetl cenę</w:t>
            </w:r>
          </w:p>
        </w:tc>
        <w:tc>
          <w:tcPr>
            <w:tcW w:type="dxa" w:w="800.0"/>
          </w:tcPr>
          <w:p>
            <w:pPr/>
            <w:r>
              <w:t>Should</w:t>
            </w:r>
          </w:p>
        </w:tc>
        <w:tc>
          <w:tcPr>
            <w:tcW w:type="dxa" w:w="780.0"/>
          </w:tcPr>
          <w:p>
            <w:pPr/>
            <w:r>
              <w:t>Low</w:t>
            </w:r>
          </w:p>
        </w:tc>
      </w:tr>
      <w:tr>
        <w:tc>
          <w:tcPr>
            <w:tcW w:type="dxa" w:w="3020.0"/>
          </w:tcPr>
          <w:p>
            <w:pPr/>
            <w:r>
              <w:t>Wyświetl informację o zarejestrowanych użytkownikach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Wyswietl informacje o zarejstrowanych użytkownikach</w:t>
            </w:r>
          </w:p>
        </w:tc>
        <w:tc>
          <w:tcPr>
            <w:tcW w:type="dxa" w:w="800.0"/>
          </w:tcPr>
          <w:p>
            <w:pPr/>
            <w:r>
              <w:t>Could</w:t>
            </w:r>
          </w:p>
        </w:tc>
        <w:tc>
          <w:tcPr>
            <w:tcW w:type="dxa" w:w="780.0"/>
          </w:tcPr>
          <w:p>
            <w:pPr/>
            <w:r>
              <w:t>Medium</w:t>
            </w:r>
          </w:p>
        </w:tc>
      </w:tr>
      <w:tr>
        <w:tc>
          <w:tcPr>
            <w:tcW w:type="dxa" w:w="3020.0"/>
          </w:tcPr>
          <w:p>
            <w:pPr/>
            <w:r>
              <w:t>Wyświetl komunikat na stronie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Wyswietl komunikat na stronie</w:t>
            </w:r>
          </w:p>
        </w:tc>
        <w:tc>
          <w:tcPr>
            <w:tcW w:type="dxa" w:w="800.0"/>
          </w:tcPr>
          <w:p>
            <w:pPr/>
            <w:r>
              <w:t>Could</w:t>
            </w:r>
          </w:p>
        </w:tc>
        <w:tc>
          <w:tcPr>
            <w:tcW w:type="dxa" w:w="780.0"/>
          </w:tcPr>
          <w:p>
            <w:pPr/>
            <w:r>
              <w:t>Medium</w:t>
            </w:r>
          </w:p>
        </w:tc>
      </w:tr>
      <w:tr>
        <w:tc>
          <w:tcPr>
            <w:tcW w:type="dxa" w:w="3020.0"/>
          </w:tcPr>
          <w:p>
            <w:pPr/>
            <w:r>
              <w:t>Wyświetl raport o wszystkich wysłanych wiadomościach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Wyswietl raport o wszystkich wysłanych przesyłkach</w:t>
            </w:r>
          </w:p>
        </w:tc>
        <w:tc>
          <w:tcPr>
            <w:tcW w:type="dxa" w:w="800.0"/>
          </w:tcPr>
          <w:p>
            <w:pPr/>
            <w:r>
              <w:t>Could</w:t>
            </w:r>
          </w:p>
        </w:tc>
        <w:tc>
          <w:tcPr>
            <w:tcW w:type="dxa" w:w="780.0"/>
          </w:tcPr>
          <w:p>
            <w:pPr/>
            <w:r>
              <w:t>Medium</w:t>
            </w:r>
          </w:p>
        </w:tc>
      </w:tr>
      <w:tr>
        <w:tc>
          <w:tcPr>
            <w:tcW w:type="dxa" w:w="3020.0"/>
          </w:tcPr>
          <w:p>
            <w:pPr/>
            <w:r>
              <w:t>Włącz powiadomienia</w:t>
            </w:r>
          </w:p>
        </w:tc>
        <w:tc>
          <w:tcPr>
            <w:tcW w:type="dxa" w:w="4300.0"/>
          </w:tcPr>
          <w:p>
            <w:pPr/>
            <w:r>
              <w:t xml:space="preserve">Użytkownik może włączyć powiadomienia</w:t>
            </w:r>
          </w:p>
        </w:tc>
        <w:tc>
          <w:tcPr>
            <w:tcW w:type="dxa" w:w="1000.0"/>
          </w:tcPr>
          <w:p>
            <w:pPr/>
            <w:r>
              <w:t>Włącz powiadomienia</w:t>
            </w:r>
          </w:p>
        </w:tc>
        <w:tc>
          <w:tcPr>
            <w:tcW w:type="dxa" w:w="800.0"/>
          </w:tcPr>
          <w:p>
            <w:pPr/>
            <w:r>
              <w:t>Could</w:t>
            </w:r>
          </w:p>
        </w:tc>
        <w:tc>
          <w:tcPr>
            <w:tcW w:type="dxa" w:w="780.0"/>
          </w:tcPr>
          <w:p>
            <w:pPr/>
            <w:r>
              <w:t>Low</w:t>
            </w:r>
          </w:p>
        </w:tc>
      </w:tr>
      <w:tr>
        <w:tc>
          <w:tcPr>
            <w:tcW w:type="dxa" w:w="3020.0"/>
          </w:tcPr>
          <w:p>
            <w:pPr/>
            <w:r>
              <w:t>Zablokuj użytkownika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Zablokuj użytkownika</w:t>
            </w:r>
          </w:p>
        </w:tc>
        <w:tc>
          <w:tcPr>
            <w:tcW w:type="dxa" w:w="800.0"/>
          </w:tcPr>
          <w:p>
            <w:pPr/>
            <w:r>
              <w:t>Could</w:t>
            </w:r>
          </w:p>
        </w:tc>
        <w:tc>
          <w:tcPr>
            <w:tcW w:type="dxa" w:w="780.0"/>
          </w:tcPr>
          <w:p>
            <w:pPr/>
            <w:r>
              <w:t>Medium</w:t>
            </w:r>
          </w:p>
        </w:tc>
      </w:tr>
      <w:tr>
        <w:tc>
          <w:tcPr>
            <w:tcW w:type="dxa" w:w="3020.0"/>
          </w:tcPr>
          <w:p>
            <w:pPr/>
            <w:r>
              <w:t>Zaloguj się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General Activity</w:t>
            </w:r>
          </w:p>
        </w:tc>
        <w:tc>
          <w:tcPr>
            <w:tcW w:type="dxa" w:w="800.0"/>
          </w:tcPr>
          <w:p>
            <w:pPr/>
            <w:r>
              <w:t>Must</w:t>
            </w:r>
          </w:p>
        </w:tc>
        <w:tc>
          <w:tcPr>
            <w:tcW w:type="dxa" w:w="780.0"/>
          </w:tcPr>
          <w:p>
            <w:pPr/>
            <w:r>
              <w:t>Medium</w:t>
            </w:r>
          </w:p>
        </w:tc>
      </w:tr>
      <w:tr>
        <w:tc>
          <w:tcPr>
            <w:tcW w:type="dxa" w:w="3020.0"/>
          </w:tcPr>
          <w:p>
            <w:pPr/>
            <w:r>
              <w:t>Zarejestruj się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General Activity</w:t>
            </w:r>
          </w:p>
        </w:tc>
        <w:tc>
          <w:tcPr>
            <w:tcW w:type="dxa" w:w="800.0"/>
          </w:tcPr>
          <w:p>
            <w:pPr/>
            <w:r>
              <w:t>Must</w:t>
            </w:r>
          </w:p>
        </w:tc>
        <w:tc>
          <w:tcPr>
            <w:tcW w:type="dxa" w:w="780.0"/>
          </w:tcPr>
          <w:p>
            <w:pPr/>
            <w:r>
              <w:t>Medium</w:t>
            </w:r>
          </w:p>
        </w:tc>
      </w:tr>
      <w:tr>
        <w:tc>
          <w:tcPr>
            <w:tcW w:type="dxa" w:w="3020.0"/>
          </w:tcPr>
          <w:p>
            <w:pPr/>
            <w:r>
              <w:t>Zatwierdzenie projektu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Oszacowanie surowców potrzebych do budowy  automatow paczkowych</w:t>
            </w:r>
          </w:p>
        </w:tc>
        <w:tc>
          <w:tcPr>
            <w:tcW w:type="dxa" w:w="800.0"/>
          </w:tcPr>
          <w:p>
            <w:pPr/>
            <w:r>
              <w:t>Must</w:t>
            </w:r>
          </w:p>
        </w:tc>
        <w:tc>
          <w:tcPr>
            <w:tcW w:type="dxa" w:w="780.0"/>
          </w:tcPr>
          <w:p>
            <w:pPr/>
            <w:r>
              <w:t>Medium</w:t>
            </w:r>
          </w:p>
        </w:tc>
      </w:tr>
      <w:tr>
        <w:tc>
          <w:tcPr>
            <w:tcW w:type="dxa" w:w="3020.0"/>
          </w:tcPr>
          <w:p>
            <w:pPr/>
            <w:r>
              <w:t>Zaznacz komentarze do usunięcia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Usuń komentarz</w:t>
            </w:r>
          </w:p>
        </w:tc>
        <w:tc>
          <w:tcPr>
            <w:tcW w:type="dxa" w:w="800.0"/>
          </w:tcPr>
          <w:p>
            <w:pPr/>
            <w:r>
              <w:t>Could</w:t>
            </w:r>
          </w:p>
        </w:tc>
        <w:tc>
          <w:tcPr>
            <w:tcW w:type="dxa" w:w="780.0"/>
          </w:tcPr>
          <w:p>
            <w:pPr/>
            <w:r>
              <w:t>Low</w:t>
            </w:r>
          </w:p>
        </w:tc>
      </w:tr>
      <w:tr>
        <w:tc>
          <w:tcPr>
            <w:tcW w:type="dxa" w:w="3020.0"/>
          </w:tcPr>
          <w:p>
            <w:pPr/>
            <w:r>
              <w:t>Zmień Motyw na Ciemny/Jasny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Zmień Motyw na Ciemny/Jasny</w:t>
            </w:r>
          </w:p>
        </w:tc>
        <w:tc>
          <w:tcPr>
            <w:tcW w:type="dxa" w:w="800.0"/>
          </w:tcPr>
          <w:p>
            <w:pPr/>
            <w:r>
              <w:t>Could</w:t>
            </w:r>
          </w:p>
        </w:tc>
        <w:tc>
          <w:tcPr>
            <w:tcW w:type="dxa" w:w="780.0"/>
          </w:tcPr>
          <w:p>
            <w:pPr/>
            <w:r>
              <w:t>Low</w:t>
            </w:r>
          </w:p>
        </w:tc>
      </w:tr>
      <w:tr>
        <w:tc>
          <w:tcPr>
            <w:tcW w:type="dxa" w:w="3020.0"/>
          </w:tcPr>
          <w:p>
            <w:pPr/>
            <w:r>
              <w:t>Zrób przerwę techniczną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Zrób przerwę techniczną</w:t>
            </w:r>
          </w:p>
        </w:tc>
        <w:tc>
          <w:tcPr>
            <w:tcW w:type="dxa" w:w="800.0"/>
          </w:tcPr>
          <w:p>
            <w:pPr/>
            <w:r>
              <w:t>Must</w:t>
            </w:r>
          </w:p>
        </w:tc>
        <w:tc>
          <w:tcPr>
            <w:tcW w:type="dxa" w:w="780.0"/>
          </w:tcPr>
          <w:p>
            <w:pPr/>
            <w:r>
              <w:t>Medium</w:t>
            </w:r>
          </w:p>
        </w:tc>
      </w:tr>
      <w:tr>
        <w:tc>
          <w:tcPr>
            <w:tcW w:type="dxa" w:w="3020.0"/>
          </w:tcPr>
          <w:p>
            <w:pPr/>
            <w:r>
              <w:t>Zwróć Paczkę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Zwróć Paczkę</w:t>
            </w:r>
          </w:p>
        </w:tc>
        <w:tc>
          <w:tcPr>
            <w:tcW w:type="dxa" w:w="800.0"/>
          </w:tcPr>
          <w:p>
            <w:pPr/>
            <w:r>
              <w:t>Should</w:t>
            </w:r>
          </w:p>
        </w:tc>
        <w:tc>
          <w:tcPr>
            <w:tcW w:type="dxa" w:w="780.0"/>
          </w:tcPr>
          <w:p>
            <w:pPr/>
            <w:r>
              <w:t>Medium</w:t>
            </w:r>
          </w:p>
        </w:tc>
      </w:tr>
    </w:tbl>
    <w:sectPr>
      <w:pgSz w:h="16837" w:w="11905"/>
      <w:pgMar w:bottom="960" w:gutter="0" w:left="960" w:right="960" w:top="960"/>
      <w:pgNumType w:start="1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E10F2E"/>
    <w:rsid w:val="00E10F2E"/>
    <w:rsid w:val="00F27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Times New Roman" w:hAnsi="Times New Roman"/>
        <w:lang w:bidi="ar-SA" w:eastAsia="en-US" w:val="en-US"/>
      </w:rPr>
    </w:rPrDefault>
    <w:pPrDefault/>
  </w:docDefaults>
  <w:latentStyles w:count="267" w:defLockedState="0" w:defQFormat="0" w:defSemiHidden="0" w:defUIPriority="0" w:defUnhideWhenUsed="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 w:semiHidden="1" w:unhideWhenUsed="1"/>
    <w:lsdException w:name="heading 6" w:qFormat="1" w:semiHidden="1" w:unhideWhenUsed="1"/>
    <w:lsdException w:name="heading 7" w:qFormat="1" w:semiHidden="1" w:unhideWhenUsed="1"/>
    <w:lsdException w:name="heading 8" w:qFormat="1" w:semiHidden="1" w:unhideWhenUsed="1"/>
    <w:lsdException w:name="heading 9" w:qFormat="1" w:semiHidden="1" w:unhideWhenUsed="1"/>
    <w:lsdException w:name="toc 1" w:uiPriority="39"/>
    <w:lsdException w:name="toc 2" w:uiPriority="39"/>
    <w:lsdException w:name="toc 3" w:uiPriority="39"/>
    <w:lsdException w:name="caption" w:qFormat="1" w:semiHidden="1" w:unhideWhenUsed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Description"/>
    <w:lsdException w:name="Balloon Text"/>
  </w:latentStyles>
  <w:style w:default="1" w:styleId="Normal" w:type="paragraph">
    <w:name w:val="Normal"/>
    <w:link w:val="NormalChar"/>
    <w:qFormat/>
    <w:rsid w:val="00052F11"/>
    <w:rPr>
      <w:rFonts w:ascii="Calibri" w:cs="Calibri" w:eastAsia="Calibri" w:hAnsi="Calibri"/>
      <w:szCs w:val="24"/>
      <w:lang w:eastAsia="en-GB" w:val="en-GB"/>
      <w:b w:val="0"/>
      <w:i w:val="0"/>
      <w:sz w:val="22"/>
      <w:u w:val="none"/>
    </w:rPr>
    <w:pPr/>
  </w:style>
  <w:style w:styleId="Heading1" w:type="paragraph">
    <w:name w:val="heading 1"/>
    <w:basedOn w:val="Normal"/>
    <w:next w:val="Normal"/>
    <w:link w:val="Heading1Char"/>
    <w:qFormat/>
    <w:rsid w:val="00052F11"/>
    <w:pPr>
      <w:keepNext/>
      <w:spacing w:after="0" w:before="480"/>
      <w:outlineLvl w:val="0"/>
      <w:keepLines/>
    </w:pPr>
    <w:rPr>
      <w:rFonts w:ascii="Cambria" w:cs="Cambria" w:eastAsia="Cambria" w:hAnsi="Cambria"/>
      <w:b/>
      <w:bCs/>
      <w:kern w:val="32"/>
      <w:sz w:val="28"/>
      <w:szCs w:val="32"/>
      <w:i w:val="0"/>
      <w:color w:val="365F91"/>
      <w:u w:val="none"/>
    </w:rPr>
  </w:style>
  <w:style w:styleId="Heading2" w:type="paragraph">
    <w:name w:val="heading 2"/>
    <w:basedOn w:val="Normal"/>
    <w:next w:val="Normal"/>
    <w:link w:val="Heading2Char"/>
    <w:qFormat/>
    <w:rsid w:val="00052F11"/>
    <w:pPr>
      <w:keepNext/>
      <w:spacing w:after="0" w:before="200"/>
      <w:outlineLvl w:val="1"/>
      <w:keepLines/>
    </w:pPr>
    <w:rPr>
      <w:rFonts w:ascii="Cambria" w:cs="Cambria" w:eastAsia="Cambria" w:hAnsi="Cambria"/>
      <w:b/>
      <w:bCs/>
      <w:iCs/>
      <w:sz w:val="26"/>
      <w:szCs w:val="28"/>
      <w:i w:val="0"/>
      <w:color w:val="4F81BD"/>
      <w:u w:val="none"/>
    </w:rPr>
  </w:style>
  <w:style w:styleId="Heading3" w:type="paragraph">
    <w:name w:val="heading 3"/>
    <w:basedOn w:val="Normal"/>
    <w:next w:val="Normal"/>
    <w:link w:val="Heading3Char"/>
    <w:qFormat/>
    <w:rsid w:val="00052F11"/>
    <w:pPr>
      <w:keepNext/>
      <w:spacing w:after="0" w:before="200"/>
      <w:outlineLvl w:val="2"/>
      <w:keepLines/>
    </w:pPr>
    <w:rPr>
      <w:rFonts w:ascii="Cambria" w:cs="Cambria" w:eastAsia="Cambria" w:hAnsi="Cambria"/>
      <w:b/>
      <w:bCs/>
      <w:sz w:val="22"/>
      <w:szCs w:val="26"/>
      <w:i w:val="0"/>
      <w:color w:val="4F81BD"/>
      <w:u w:val="none"/>
    </w:rPr>
  </w:style>
  <w:style w:styleId="Heading4" w:type="paragraph">
    <w:name w:val="heading 4"/>
    <w:basedOn w:val="Normal"/>
    <w:next w:val="Normal"/>
    <w:link w:val="Heading4Char"/>
    <w:qFormat/>
    <w:rsid w:val="00EF7B96"/>
    <w:pPr>
      <w:keepNext/>
      <w:spacing w:after="0" w:before="200"/>
      <w:outlineLvl w:val="3"/>
      <w:keepLines/>
    </w:pPr>
    <w:rPr>
      <w:b/>
      <w:bCs/>
      <w:sz w:val="22"/>
      <w:szCs w:val="28"/>
      <w:rFonts w:ascii="Cambria" w:cs="Cambria" w:eastAsia="Cambria" w:hAnsi="Cambria"/>
      <w:i/>
      <w:color w:val="4F81BD"/>
      <w:u w:val="none"/>
    </w:rPr>
  </w:style>
  <w:style w:styleId="Heading5" w:type="paragraph">
    <w:name w:val="heading 5"/>
    <w:basedOn w:val="Heading4"/>
    <w:next w:val="Normal"/>
    <w:link w:val="Heading5Char"/>
    <w:unhideWhenUsed/>
    <w:qFormat/>
    <w:rsid w:val="00D80F78"/>
    <w:pPr>
      <w:keepLines/>
      <w:spacing w:after="0" w:before="200"/>
      <w:outlineLvl w:val="4"/>
      <w:keepNext/>
    </w:pPr>
    <w:rPr>
      <w:rFonts w:ascii="Cambria" w:asciiTheme="majorHAnsi" w:cs="Cambria" w:cstheme="majorBidi" w:eastAsia="Cambria" w:eastAsiaTheme="majorEastAsia" w:hAnsi="Cambria" w:hAnsiTheme="majorHAnsi"/>
      <w:color w:themeColor="accent1" w:themeShade="7F" w:val="243F60"/>
      <w:b w:val="0"/>
      <w:i w:val="0"/>
      <w:sz w:val="22"/>
      <w:u w:val="none"/>
    </w:rPr>
  </w:style>
  <w:style w:styleId="Heading6" w:type="paragraph">
    <w:name w:val="heading 6"/>
    <w:basedOn w:val="Heading5"/>
    <w:next w:val="Normal"/>
    <w:link w:val="Heading6Char"/>
    <w:unhideWhenUsed/>
    <w:qFormat/>
    <w:rsid w:val="00D80F78"/>
    <w:pPr>
      <w:outlineLvl w:val="5"/>
      <w:keepNext/>
      <w:keepLines/>
      <w:spacing w:after="0" w:before="200"/>
    </w:pPr>
    <w:rPr>
      <w:i/>
      <w:iCs/>
      <w:rFonts w:ascii="Cambria" w:cs="Cambria" w:eastAsia="Cambria" w:hAnsi="Cambria"/>
      <w:b w:val="0"/>
      <w:color w:val="243F60"/>
      <w:sz w:val="22"/>
      <w:u w:val="none"/>
    </w:rPr>
  </w:style>
  <w:style w:styleId="Heading7" w:type="paragraph">
    <w:name w:val="heading 7"/>
    <w:basedOn w:val="Heading6"/>
    <w:next w:val="Normal"/>
    <w:link w:val="Heading7Char"/>
    <w:unhideWhenUsed/>
    <w:qFormat/>
    <w:rsid w:val="00D80F78"/>
    <w:pPr>
      <w:outlineLvl w:val="6"/>
      <w:keepNext/>
      <w:keepLines/>
      <w:spacing w:after="0" w:before="200"/>
    </w:pPr>
    <w:rPr>
      <w:i w:val="0"/>
      <w:iCs w:val="0"/>
      <w:color w:themeColor="text1" w:themeTint="BF" w:val="404040"/>
      <w:rFonts w:ascii="Cambria" w:cs="Cambria" w:eastAsia="Cambria" w:hAnsi="Cambria"/>
      <w:b w:val="0"/>
      <w:sz w:val="22"/>
      <w:u w:val="none"/>
    </w:rPr>
  </w:style>
  <w:style w:styleId="Heading8" w:type="paragraph">
    <w:name w:val="heading 8"/>
    <w:basedOn w:val="Heading7"/>
    <w:next w:val="Normal"/>
    <w:link w:val="Heading8Char"/>
    <w:unhideWhenUsed/>
    <w:qFormat/>
    <w:rsid w:val="009B6E9B"/>
    <w:pPr>
      <w:outlineLvl w:val="7"/>
      <w:keepNext/>
      <w:keepLines/>
      <w:spacing w:after="0" w:before="200"/>
    </w:pPr>
    <w:rPr>
      <w:i w:val="0"/>
      <w:szCs w:val="20"/>
      <w:rFonts w:ascii="Cambria" w:cs="Cambria" w:eastAsia="Cambria" w:hAnsi="Cambria"/>
      <w:b w:val="0"/>
      <w:color w:val="404040"/>
      <w:sz w:val="20"/>
      <w:u w:val="none"/>
    </w:rPr>
  </w:style>
  <w:style w:styleId="Heading9" w:type="paragraph">
    <w:name w:val="heading 9"/>
    <w:basedOn w:val="Heading8"/>
    <w:next w:val="Normal"/>
    <w:link w:val="Heading9Char"/>
    <w:unhideWhenUsed/>
    <w:qFormat/>
    <w:rsid w:val="009B6E9B"/>
    <w:pPr>
      <w:outlineLvl w:val="8"/>
      <w:keepNext/>
      <w:keepLines/>
      <w:spacing w:after="0" w:before="200"/>
    </w:pPr>
    <w:rPr>
      <w:b w:val="0"/>
      <w:iCs/>
      <w:rFonts w:ascii="Cambria" w:cs="Cambria" w:eastAsia="Cambria" w:hAnsi="Cambria"/>
      <w:i/>
      <w:color w:val="404040"/>
      <w:sz w:val="20"/>
      <w:u w:val="none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  <w:tblStyleRowBandSize w:val="1"/>
      <w:tblStyleColBandSize w:val="1"/>
    </w:tblPr>
    <w:pPr>
      <w:spacing w:after="0" w:before="0"/>
      <w:ind w:left="0" w:right="0"/>
    </w:pPr>
  </w:style>
  <w:style w:default="1" w:styleId="NoList" w:type="numbering">
    <w:name w:val="No List"/>
    <w:uiPriority w:val="99"/>
    <w:semiHidden/>
    <w:unhideWhenUsed/>
  </w:style>
  <w:style w:customStyle="1" w:styleId="DocumentTitle" w:type="paragraph">
    <w:name w:val="Document Title"/>
    <w:basedOn w:val="Normal"/>
    <w:rsid w:val="00052F11"/>
    <w:pPr>
      <w:jc w:val="center"/>
    </w:pPr>
    <w:rPr>
      <w:b/>
      <w:sz w:val="52"/>
    </w:rPr>
  </w:style>
  <w:style w:customStyle="1" w:styleId="Information" w:type="paragraph">
    <w:name w:val="Information"/>
    <w:basedOn w:val="Normal"/>
    <w:rsid w:val="00052F11"/>
    <w:pPr>
      <w:jc w:val="center"/>
    </w:pPr>
    <w:rPr>
      <w:b/>
      <w:sz w:val="28"/>
      <w:szCs w:val="20"/>
    </w:rPr>
  </w:style>
  <w:style w:customStyle="1" w:styleId="Diagram" w:type="paragraph">
    <w:name w:val="Diagram"/>
    <w:basedOn w:val="Normal"/>
    <w:rsid w:val="00E50A43"/>
  </w:style>
  <w:style w:customStyle="1" w:styleId="ReportTitle" w:type="paragraph">
    <w:name w:val="Report Title"/>
    <w:basedOn w:val="PageTitle"/>
    <w:rsid w:val="007B63B3"/>
    <w:rPr>
      <w:b/>
      <w:sz w:val="48"/>
    </w:rPr>
  </w:style>
  <w:style w:customStyle="1" w:styleId="PageTitle" w:type="paragraph">
    <w:name w:val="Page Title"/>
    <w:basedOn w:val="Normal"/>
    <w:rsid w:val="00052F11"/>
    <w:pPr>
      <w:spacing w:before="240"/>
      <w:jc w:val="center"/>
    </w:pPr>
    <w:rPr>
      <w:sz w:val="40"/>
      <w:szCs w:val="20"/>
    </w:rPr>
  </w:style>
  <w:style w:customStyle="1" w:styleId="HLine" w:type="paragraph">
    <w:name w:val="H Line"/>
    <w:basedOn w:val="DocumentTitle"/>
    <w:rsid w:val="00DF6325"/>
    <w:pPr>
      <w:pBdr>
        <w:bottom w:color="1569BC" w:space="1" w:sz="18" w:val="single"/>
      </w:pBdr>
    </w:pPr>
    <w:rPr>
      <w:bCs/>
      <w:szCs w:val="20"/>
    </w:rPr>
  </w:style>
  <w:style w:customStyle="1" w:styleId="TableHeader" w:type="paragraph">
    <w:name w:val="TableHeader"/>
    <w:basedOn w:val="Normal"/>
    <w:rsid w:val="005A57E0"/>
    <w:pPr>
      <w:spacing w:after="80" w:before="120"/>
      <w:ind w:left="144" w:right="144"/>
    </w:pPr>
    <w:rPr>
      <w:b/>
      <w:color w:val="FFFFFF"/>
      <w:sz w:val="22"/>
    </w:rPr>
  </w:style>
  <w:style w:customStyle="1" w:styleId="TableContent" w:type="paragraph">
    <w:name w:val="TableContent"/>
    <w:basedOn w:val="Normal"/>
    <w:rsid w:val="0070332B"/>
    <w:pPr>
      <w:spacing w:after="40" w:before="80"/>
      <w:ind w:left="144" w:right="144"/>
    </w:pPr>
  </w:style>
  <w:style w:customStyle="1" w:styleId="DiagramType" w:type="paragraph">
    <w:name w:val="DiagramType"/>
    <w:basedOn w:val="Normal"/>
    <w:rsid w:val="00AC0B18"/>
    <w:rPr>
      <w:b/>
      <w:sz w:val="28"/>
    </w:rPr>
  </w:style>
  <w:style w:customStyle="1" w:styleId="ReportInformation" w:type="paragraph">
    <w:name w:val="Report Information"/>
    <w:basedOn w:val="ReportTitle"/>
    <w:rsid w:val="009D6E9A"/>
    <w:rPr>
      <w:sz w:val="32"/>
    </w:rPr>
  </w:style>
  <w:style w:styleId="TOC1" w:type="paragraph">
    <w:name w:val="toc 1"/>
    <w:basedOn w:val="Normal"/>
    <w:next w:val="Normal"/>
    <w:link w:val="TOC1Char"/>
    <w:autoRedefine/>
    <w:uiPriority w:val="39"/>
    <w:rsid w:val="001B17E9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2" w:type="paragraph">
    <w:name w:val="toc 2"/>
    <w:basedOn w:val="Normal"/>
    <w:next w:val="Normal"/>
    <w:link w:val="TOC2Char"/>
    <w:autoRedefine/>
    <w:uiPriority w:val="39"/>
    <w:rsid w:val="001B17E9"/>
    <w:pPr>
      <w:ind w:left="200"/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3" w:type="paragraph">
    <w:name w:val="toc 3"/>
    <w:basedOn w:val="Normal"/>
    <w:next w:val="Normal"/>
    <w:link w:val="TOC3Char"/>
    <w:autoRedefine/>
    <w:uiPriority w:val="39"/>
    <w:rsid w:val="001B17E9"/>
    <w:pPr>
      <w:ind w:left="400"/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Hyperlink" w:type="character">
    <w:name w:val="Hyperlink"/>
    <w:basedOn w:val="DefaultParagraphFont"/>
    <w:uiPriority w:val="99"/>
    <w:unhideWhenUsed/>
    <w:rsid w:val="001B17E9"/>
    <w:rPr>
      <w:color w:themeColor="hyperlink" w:val="0000FF"/>
      <w:u w:val="single"/>
    </w:rPr>
  </w:style>
  <w:style w:customStyle="1" w:styleId="Heading5Char" w:type="character">
    <w:name w:val="Heading 5 Char"/>
    <w:basedOn w:val="DefaultParagraphFont"/>
    <w:link w:val="Heading5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color w:themeColor="accent1" w:themeShade="7F" w:val="243F60"/>
      <w:sz w:val="22"/>
      <w:szCs w:val="28"/>
      <w:lang w:eastAsia="en-GB" w:val="en-GB"/>
      <w:i w:val="0"/>
      <w:u w:val="none"/>
    </w:rPr>
    <w:pPr>
      <w:keepNext/>
      <w:keepLines/>
      <w:spacing w:after="0" w:before="200"/>
    </w:pPr>
  </w:style>
  <w:style w:customStyle="1" w:styleId="Heading6Char" w:type="character">
    <w:name w:val="Heading 6 Char"/>
    <w:basedOn w:val="DefaultParagraphFont"/>
    <w:link w:val="Heading6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i/>
      <w:iCs/>
      <w:color w:themeColor="accent1" w:themeShade="7F" w:val="243F60"/>
      <w:sz w:val="22"/>
      <w:szCs w:val="28"/>
      <w:lang w:eastAsia="en-GB" w:val="en-GB"/>
      <w:u w:val="none"/>
    </w:rPr>
    <w:pPr>
      <w:keepNext/>
      <w:keepLines/>
      <w:spacing w:after="0" w:before="200"/>
    </w:pPr>
  </w:style>
  <w:style w:customStyle="1" w:styleId="Heading7Char" w:type="character">
    <w:name w:val="Heading 7 Char"/>
    <w:basedOn w:val="DefaultParagraphFont"/>
    <w:link w:val="Heading7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color w:themeColor="text1" w:themeTint="BF" w:val="404040"/>
      <w:sz w:val="22"/>
      <w:szCs w:val="28"/>
      <w:lang w:eastAsia="en-GB" w:val="en-GB"/>
      <w:i/>
      <w:u w:val="none"/>
    </w:rPr>
    <w:pPr>
      <w:keepNext/>
      <w:keepLines/>
      <w:spacing w:after="0" w:before="200"/>
    </w:pPr>
  </w:style>
  <w:style w:customStyle="1" w:styleId="Heading8Char" w:type="character">
    <w:name w:val="Heading 8 Char"/>
    <w:basedOn w:val="DefaultParagraphFont"/>
    <w:link w:val="Heading8"/>
    <w:rsid w:val="009B6E9B"/>
    <w:rPr>
      <w:rFonts w:ascii="Cambria" w:asciiTheme="majorHAnsi" w:cs="Cambria" w:cstheme="majorBidi" w:eastAsia="Cambria" w:eastAsiaTheme="majorEastAsia" w:hAnsi="Cambria" w:hAnsiTheme="majorHAnsi"/>
      <w:b w:val="0"/>
      <w:bCs/>
      <w:i w:val="0"/>
      <w:color w:themeColor="text1" w:themeTint="BF" w:val="404040"/>
      <w:sz w:val="20"/>
      <w:lang w:eastAsia="en-GB" w:val="en-GB"/>
      <w:u w:val="none"/>
    </w:rPr>
    <w:pPr>
      <w:keepNext/>
      <w:keepLines/>
      <w:spacing w:after="0" w:before="200"/>
    </w:pPr>
  </w:style>
  <w:style w:customStyle="1" w:styleId="Heading9Char" w:type="character">
    <w:name w:val="Heading 9 Char"/>
    <w:basedOn w:val="DefaultParagraphFont"/>
    <w:link w:val="Heading9"/>
    <w:rsid w:val="009B6E9B"/>
    <w:rPr>
      <w:rFonts w:ascii="Cambria" w:asciiTheme="majorHAnsi" w:cs="Cambria" w:cstheme="majorBidi" w:eastAsia="Cambria" w:eastAsiaTheme="majorEastAsia" w:hAnsi="Cambria" w:hAnsiTheme="majorHAnsi"/>
      <w:bCs/>
      <w:i/>
      <w:iCs/>
      <w:color w:themeColor="text1" w:themeTint="BF" w:val="404040"/>
      <w:sz w:val="20"/>
      <w:lang w:eastAsia="en-GB" w:val="en-GB"/>
      <w:b w:val="0"/>
      <w:u w:val="none"/>
    </w:rPr>
    <w:pPr>
      <w:keepNext/>
      <w:keepLines/>
      <w:spacing w:after="0" w:before="200"/>
    </w:pPr>
  </w:style>
  <w:style w:styleId="Description" w:type="paragraph">
    <w:name w:val="Description"/>
    <w:basedOn w:val="Normal"/>
    <w:link w:val="DescriptionChar"/>
    <w:pPr/>
    <w:rPr>
      <w:rFonts w:ascii="Calibri" w:cs="Calibri" w:eastAsia="Calibri" w:hAnsi="Calibri"/>
      <w:b w:val="0"/>
      <w:i w:val="0"/>
      <w:sz w:val="22"/>
      <w:u w:val="none"/>
    </w:rPr>
  </w:style>
  <w:style w:styleId="DescriptionChar" w:type="character">
    <w:name w:val="Description"/>
    <w:basedOn w:val="Normal"/>
    <w:link w:val="Description"/>
    <w:pPr/>
    <w:rPr>
      <w:rFonts w:ascii="Calibri" w:cs="Calibri" w:eastAsia="Calibri" w:hAnsi="Calibri"/>
      <w:b w:val="0"/>
      <w:i w:val="0"/>
      <w:sz w:val="22"/>
      <w:u w:val="none"/>
    </w:rPr>
  </w:style>
  <w:style w:styleId="TOC2Char" w:type="character">
    <w:name w:val="toc 2"/>
    <w:basedOn w:val="Normal"/>
    <w:link w:val="TOC2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3Char" w:type="character">
    <w:name w:val="toc 3"/>
    <w:basedOn w:val="Normal"/>
    <w:link w:val="TOC3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1Char" w:type="character">
    <w:name w:val="toc 1"/>
    <w:basedOn w:val="Normal"/>
    <w:link w:val="TOC1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Heading1Char" w:type="character">
    <w:name w:val="heading 1"/>
    <w:basedOn w:val="Normal"/>
    <w:link w:val="Heading1"/>
    <w:pPr>
      <w:keepNext/>
      <w:keepLines/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Heading2Char" w:type="character">
    <w:name w:val="heading 2"/>
    <w:basedOn w:val="Normal"/>
    <w:link w:val="Heading2"/>
    <w:pPr>
      <w:keepNext/>
      <w:keepLines/>
      <w:spacing w:after="0" w:before="200"/>
    </w:pPr>
    <w:rPr>
      <w:rFonts w:ascii="Cambria" w:cs="Cambria" w:eastAsia="Cambria" w:hAnsi="Cambria"/>
      <w:b/>
      <w:i w:val="0"/>
      <w:color w:val="4F81BD"/>
      <w:sz w:val="26"/>
      <w:u w:val="none"/>
    </w:rPr>
  </w:style>
  <w:style w:styleId="Heading3Char" w:type="character">
    <w:name w:val="heading 3"/>
    <w:basedOn w:val="Normal"/>
    <w:link w:val="Heading3"/>
    <w:pPr>
      <w:keepNext/>
      <w:keepLines/>
      <w:spacing w:after="0" w:before="200"/>
    </w:pPr>
    <w:rPr>
      <w:rFonts w:ascii="Cambria" w:cs="Cambria" w:eastAsia="Cambria" w:hAnsi="Cambria"/>
      <w:b/>
      <w:i w:val="0"/>
      <w:color w:val="4F81BD"/>
      <w:sz w:val="22"/>
      <w:u w:val="none"/>
    </w:rPr>
  </w:style>
  <w:style w:styleId="Heading4Char" w:type="character">
    <w:name w:val="heading 4"/>
    <w:basedOn w:val="Normal"/>
    <w:link w:val="Heading4"/>
    <w:pPr>
      <w:keepNext/>
      <w:keepLines/>
      <w:spacing w:after="0" w:before="200"/>
    </w:pPr>
    <w:rPr>
      <w:rFonts w:ascii="Cambria" w:cs="Cambria" w:eastAsia="Cambria" w:hAnsi="Cambria"/>
      <w:b/>
      <w:i/>
      <w:color w:val="4F81BD"/>
      <w:sz w:val="22"/>
      <w:u w:val="none"/>
    </w:rPr>
  </w:style>
  <w:style w:styleId="BalloonText" w:type="paragraph">
    <w:name w:val="Balloon Text"/>
    <w:basedOn w:val="Normal"/>
    <w:link w:val="BalloonTextChar"/>
    <w:pPr>
      <w:spacing w:after="0"/>
    </w:pPr>
    <w:rPr>
      <w:rFonts w:ascii="Tahoma" w:cs="Tahoma" w:eastAsia="Tahoma" w:hAnsi="Tahoma"/>
      <w:b w:val="0"/>
      <w:i w:val="0"/>
      <w:sz w:val="16"/>
      <w:u w:val="none"/>
    </w:rPr>
  </w:style>
  <w:style w:styleId="BalloonTextChar" w:type="character">
    <w:name w:val="Balloon Text"/>
    <w:basedOn w:val="Normal"/>
    <w:link w:val="BalloonText"/>
    <w:pPr>
      <w:spacing w:after="0"/>
    </w:pPr>
    <w:rPr>
      <w:rFonts w:ascii="Tahoma" w:cs="Tahoma" w:eastAsia="Tahoma" w:hAnsi="Tahoma"/>
      <w:b w:val="0"/>
      <w:i w:val="0"/>
      <w:sz w:val="16"/>
      <w:u w:val="none"/>
    </w:rPr>
  </w:style>
  <w:style w:styleId="NormalChar" w:type="character">
    <w:name w:val="Normal"/>
    <w:basedOn w:val="Normal"/>
    <w:link w:val="Normal"/>
    <w:pPr/>
    <w:rPr>
      <w:rFonts w:ascii="Calibri" w:cs="Calibri" w:eastAsia="Calibri" w:hAnsi="Calibri"/>
      <w:b w:val="0"/>
      <w:i w:val="0"/>
      <w:sz w:val="22"/>
      <w:u w:val="none"/>
    </w:rPr>
  </w:style>
  <w:style w:styleId="Title" w:type="paragraph">
    <w:name w:val="Title"/>
    <w:basedOn w:val="Normal"/>
    <w:link w:val="TitleChar"/>
    <w:qFormat/>
    <w:pPr>
      <w:spacing w:after="300"/>
    </w:pPr>
    <w:rPr>
      <w:rFonts w:ascii="Cambria" w:cs="Cambria" w:eastAsia="Cambria" w:hAnsi="Cambria"/>
      <w:b w:val="0"/>
      <w:i w:val="0"/>
      <w:color w:val="17365D"/>
      <w:sz w:val="52"/>
      <w:u w:val="none"/>
    </w:rPr>
  </w:style>
  <w:style w:styleId="TitleChar" w:type="character">
    <w:name w:val="Title"/>
    <w:basedOn w:val="Normal"/>
    <w:link w:val="Title"/>
    <w:pPr>
      <w:spacing w:after="300"/>
    </w:pPr>
    <w:rPr>
      <w:rFonts w:ascii="Cambria" w:cs="Cambria" w:eastAsia="Cambria" w:hAnsi="Cambria"/>
      <w:b w:val="0"/>
      <w:i w:val="0"/>
      <w:color w:val="17365D"/>
      <w:sz w:val="52"/>
      <w:u w:val="none"/>
    </w:rPr>
  </w:style>
  <w:style w:styleId="Subtitle" w:type="paragraph">
    <w:name w:val="Subtitle"/>
    <w:basedOn w:val="Normal"/>
    <w:link w:val="SubtitleChar"/>
    <w:qFormat/>
    <w:pPr/>
    <w:rPr>
      <w:rFonts w:ascii="Cambria" w:cs="Cambria" w:eastAsia="Cambria" w:hAnsi="Cambria"/>
      <w:b w:val="0"/>
      <w:i/>
      <w:color w:val="4F81BD"/>
      <w:sz w:val="24"/>
      <w:u w:val="none"/>
    </w:rPr>
  </w:style>
  <w:style w:styleId="SubtitleChar" w:type="character">
    <w:name w:val="Subtitle"/>
    <w:basedOn w:val="Normal"/>
    <w:link w:val="Subtitle"/>
    <w:pPr/>
    <w:rPr>
      <w:rFonts w:ascii="Cambria" w:cs="Cambria" w:eastAsia="Cambria" w:hAnsi="Cambria"/>
      <w:b w:val="0"/>
      <w:i/>
      <w:color w:val="4F81BD"/>
      <w:sz w:val="24"/>
      <w:u w:val="none"/>
    </w:rPr>
  </w:style>
  <w:style w:styleId="NoSpacing" w:type="paragraph">
    <w:name w:val="No Spacing"/>
    <w:basedOn w:val="Normal"/>
    <w:link w:val="NoSpacingChar"/>
    <w:qFormat/>
    <w:pPr>
      <w:spacing w:after="0"/>
    </w:pPr>
    <w:rPr>
      <w:rFonts w:ascii="Calibri" w:cs="Calibri" w:eastAsia="Calibri" w:hAnsi="Calibri"/>
      <w:b w:val="0"/>
      <w:i w:val="0"/>
      <w:sz w:val="22"/>
      <w:u w:val="none"/>
    </w:rPr>
  </w:style>
  <w:style w:styleId="NoSpacingChar" w:type="character">
    <w:name w:val="No Spacing"/>
    <w:basedOn w:val="Normal"/>
    <w:link w:val="NoSpacing"/>
    <w:pPr>
      <w:spacing w:after="0"/>
    </w:pPr>
    <w:rPr>
      <w:rFonts w:ascii="Calibri" w:cs="Calibri" w:eastAsia="Calibri" w:hAnsi="Calibri"/>
      <w:b w:val="0"/>
      <w:i w:val="0"/>
      <w:sz w:val="22"/>
      <w:u w:val="none"/>
    </w:rPr>
  </w:style>
  <w:style w:styleId="ListParagraph" w:type="paragraph">
    <w:name w:val="List Paragraph"/>
    <w:basedOn w:val="Normal"/>
    <w:link w:val="ListParagraphChar"/>
    <w:qFormat/>
    <w:pPr/>
    <w:rPr>
      <w:rFonts w:ascii="Calibri" w:cs="Calibri" w:eastAsia="Calibri" w:hAnsi="Calibri"/>
      <w:b w:val="0"/>
      <w:i w:val="0"/>
      <w:sz w:val="22"/>
      <w:u w:val="none"/>
    </w:rPr>
  </w:style>
  <w:style w:styleId="ListParagraphChar" w:type="character">
    <w:name w:val="List Paragraph"/>
    <w:basedOn w:val="Normal"/>
    <w:link w:val="ListParagraph"/>
    <w:pPr/>
    <w:rPr>
      <w:rFonts w:ascii="Calibri" w:cs="Calibri" w:eastAsia="Calibri" w:hAnsi="Calibri"/>
      <w:b w:val="0"/>
      <w:i w:val="0"/>
      <w:sz w:val="22"/>
      <w:u w:val="none"/>
    </w:rPr>
  </w:style>
  <w:style w:styleId="Quote" w:type="paragraph">
    <w:name w:val="Quote"/>
    <w:basedOn w:val="Normal"/>
    <w:link w:val="QuoteChar"/>
    <w:qFormat/>
    <w:pPr/>
    <w:rPr>
      <w:rFonts w:ascii="Calibri" w:cs="Calibri" w:eastAsia="Calibri" w:hAnsi="Calibri"/>
      <w:b w:val="0"/>
      <w:i/>
      <w:color w:val="000000"/>
      <w:sz w:val="22"/>
      <w:u w:val="none"/>
    </w:rPr>
  </w:style>
  <w:style w:styleId="QuoteChar" w:type="character">
    <w:name w:val="Quote"/>
    <w:basedOn w:val="Normal"/>
    <w:link w:val="Quote"/>
    <w:pPr/>
    <w:rPr>
      <w:rFonts w:ascii="Calibri" w:cs="Calibri" w:eastAsia="Calibri" w:hAnsi="Calibri"/>
      <w:b w:val="0"/>
      <w:i/>
      <w:color w:val="000000"/>
      <w:sz w:val="22"/>
      <w:u w:val="none"/>
    </w:rPr>
  </w:style>
  <w:style w:styleId="IntenseQuote" w:type="paragraph">
    <w:name w:val="Intense Quote"/>
    <w:basedOn w:val="Normal"/>
    <w:link w:val="IntenseQuoteChar"/>
    <w:qFormat/>
    <w:pPr>
      <w:spacing w:after="280" w:before="200"/>
    </w:pPr>
    <w:rPr>
      <w:rFonts w:ascii="Calibri" w:cs="Calibri" w:eastAsia="Calibri" w:hAnsi="Calibri"/>
      <w:b/>
      <w:i/>
      <w:color w:val="4F81BD"/>
      <w:sz w:val="22"/>
      <w:u w:val="none"/>
    </w:rPr>
  </w:style>
  <w:style w:styleId="IntenseQuoteChar" w:type="character">
    <w:name w:val="Intense Quote"/>
    <w:basedOn w:val="Normal"/>
    <w:link w:val="IntenseQuote"/>
    <w:pPr>
      <w:spacing w:after="280" w:before="200"/>
    </w:pPr>
    <w:rPr>
      <w:rFonts w:ascii="Calibri" w:cs="Calibri" w:eastAsia="Calibri" w:hAnsi="Calibri"/>
      <w:b/>
      <w:i/>
      <w:color w:val="4F81BD"/>
      <w:sz w:val="22"/>
      <w:u w:val="none"/>
    </w:rPr>
  </w:style>
  <w:style w:styleId="TOCHeading" w:type="paragraph">
    <w:name w:val="TOC Heading"/>
    <w:basedOn w:val="Normal"/>
    <w:link w:val="TOCHeadingChar"/>
    <w:qFormat/>
    <w:pPr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TOCHeadingChar" w:type="character">
    <w:name w:val="TOC Heading"/>
    <w:basedOn w:val="Normal"/>
    <w:link w:val="TOCHeading"/>
    <w:pPr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TableGrid" w:type="table">
    <w:name w:val="Table Grid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</w:style>
  <w:style w:styleId="LightShading" w:type="table">
    <w:name w:val="Light Shading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bottom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000000" w:space="0" w:sz="8" w:val="single"/>
          <w:left w:val="nil"/>
          <w:bottom w:color="000000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8" w:val="single"/>
          <w:left w:val="nil"/>
          <w:bottom w:color="000000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C0C0C0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C0C0C0" w:val="clear"/>
      </w:tcPr>
    </w:tblStylePr>
  </w:style>
  <w:style w:styleId="LightShading-Accent1" w:type="table">
    <w:name w:val="Light Shading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bottom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</w:style>
  <w:style w:styleId="LightShading-Accent2" w:type="table">
    <w:name w:val="Light Shading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bottom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C0504D" w:space="0" w:sz="8" w:val="single"/>
          <w:left w:val="nil"/>
          <w:bottom w:color="C0504D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8" w:val="single"/>
          <w:left w:val="nil"/>
          <w:bottom w:color="C0504D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EFD3D2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EFD3D2" w:val="clear"/>
      </w:tcPr>
    </w:tblStylePr>
  </w:style>
  <w:style w:styleId="LightShading-Accent3" w:type="table">
    <w:name w:val="Light Shading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bottom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9BBB59" w:space="0" w:sz="8" w:val="single"/>
          <w:left w:val="nil"/>
          <w:bottom w:color="9BBB59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8" w:val="single"/>
          <w:left w:val="nil"/>
          <w:bottom w:color="9BBB59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E6EED5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E6EED5" w:val="clear"/>
      </w:tcPr>
    </w:tblStylePr>
  </w:style>
  <w:style w:styleId="LightList" w:type="table">
    <w:name w:val="Light List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000000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Grid" w:type="table">
    <w:name w:val="Light Grid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000000" w:space="0" w:sz="8" w:val="single"/>
          <w:left w:color="000000" w:space="0" w:sz="8" w:val="single"/>
          <w:bottom w:color="000000" w:space="0" w:sz="18" w:val="single"/>
          <w:right w:color="000000" w:space="0" w:sz="8" w:val="single"/>
          <w:insideH w:val="nil"/>
          <w:insideV w:color="000000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  <w:insideH w:val="nil"/>
          <w:insideV w:color="000000" w:space="0" w:sz="8" w:val="single"/>
        </w:tcBorders>
      </w:tcPr>
    </w:tblStylePr>
    <w:tblStylePr w:type="lastCol">
      <w:rPr>
        <w:b/>
      </w:rPr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V w:color="000000" w:space="0" w:sz="8" w:val="single"/>
        </w:tcBorders>
        <w:shd w:color="auto" w:fill="C0C0C0" w:val="clear"/>
      </w:tcPr>
    </w:tblStylePr>
    <w:tblStylePr w:type="band2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V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  <w:shd w:color="auto" w:fill="C0C0C0" w:val="clear"/>
      </w:tcPr>
    </w:tblStylePr>
  </w:style>
  <w:style w:styleId="LightList-Accent1" w:type="table">
    <w:name w:val="Light List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4F81BD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</w:style>
  <w:style w:styleId="LightList-Accent2" w:type="table">
    <w:name w:val="Light List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left w:color="C0504D" w:space="0" w:sz="8" w:val="single"/>
        <w:bottom w:color="C0504D" w:space="0" w:sz="8" w:val="single"/>
        <w:right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C0504D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6" w:val="doub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band1Vert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</w:style>
  <w:style w:styleId="LightList-Accent3" w:type="table">
    <w:name w:val="Light List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left w:color="9BBB59" w:space="0" w:sz="8" w:val="single"/>
        <w:bottom w:color="9BBB59" w:space="0" w:sz="8" w:val="single"/>
        <w:right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9BBB59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6" w:val="doub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</w:style>
  <w:style w:styleId="LightGrid-Accent1" w:type="table">
    <w:name w:val="Light Grid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  <w:insideH w:color="4F81BD" w:space="0" w:sz="8" w:val="single"/>
        <w:insideV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4F81BD" w:space="0" w:sz="8" w:val="single"/>
          <w:left w:color="4F81BD" w:space="0" w:sz="8" w:val="single"/>
          <w:bottom w:color="4F81BD" w:space="0" w:sz="18" w:val="single"/>
          <w:right w:color="4F81BD" w:space="0" w:sz="8" w:val="single"/>
          <w:insideH w:val="nil"/>
          <w:insideV w:color="4F81BD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  <w:insideH w:val="nil"/>
          <w:insideV w:color="4F81BD" w:space="0" w:sz="8" w:val="single"/>
        </w:tcBorders>
      </w:tcPr>
    </w:tblStylePr>
    <w:tblStylePr w:type="lastCol">
      <w:rPr>
        <w:b/>
      </w:rPr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  <w:shd w:color="auto" w:fill="D3DFEE" w:val="clear"/>
      </w:tcPr>
    </w:tblStylePr>
    <w:tblStylePr w:type="band2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  <w:shd w:color="auto" w:fill="D3DFEE" w:val="clear"/>
      </w:tcPr>
    </w:tblStylePr>
  </w:style>
  <w:style w:styleId="LightGrid-Accent2" w:type="table">
    <w:name w:val="Light Grid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left w:color="C0504D" w:space="0" w:sz="8" w:val="single"/>
        <w:bottom w:color="C0504D" w:space="0" w:sz="8" w:val="single"/>
        <w:right w:color="C0504D" w:space="0" w:sz="8" w:val="single"/>
        <w:insideH w:color="C0504D" w:space="0" w:sz="8" w:val="single"/>
        <w:insideV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C0504D" w:space="0" w:sz="8" w:val="single"/>
          <w:left w:color="C0504D" w:space="0" w:sz="8" w:val="single"/>
          <w:bottom w:color="C0504D" w:space="0" w:sz="18" w:val="single"/>
          <w:right w:color="C0504D" w:space="0" w:sz="8" w:val="single"/>
          <w:insideH w:val="nil"/>
          <w:insideV w:color="C0504D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6" w:val="double"/>
          <w:left w:color="C0504D" w:space="0" w:sz="8" w:val="single"/>
          <w:bottom w:color="C0504D" w:space="0" w:sz="8" w:val="single"/>
          <w:right w:color="C0504D" w:space="0" w:sz="8" w:val="single"/>
          <w:insideH w:val="nil"/>
          <w:insideV w:color="C0504D" w:space="0" w:sz="8" w:val="single"/>
        </w:tcBorders>
      </w:tcPr>
    </w:tblStylePr>
    <w:tblStylePr w:type="lastCol">
      <w:rPr>
        <w:b/>
      </w:rPr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band1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color="C0504D" w:space="0" w:sz="8" w:val="single"/>
        </w:tcBorders>
        <w:shd w:color="auto" w:fill="EFD3D2" w:val="clear"/>
      </w:tcPr>
    </w:tblStylePr>
    <w:tblStylePr w:type="band2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color="C0504D" w:space="0" w:sz="8" w:val="single"/>
        </w:tcBorders>
      </w:tcPr>
    </w:tblStylePr>
    <w:tblStylePr w:type="band1Vert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  <w:shd w:color="auto" w:fill="EFD3D2" w:val="clear"/>
      </w:tcPr>
    </w:tblStylePr>
  </w:style>
  <w:style w:styleId="LightGrid-Accent3" w:type="table">
    <w:name w:val="Light Grid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left w:color="9BBB59" w:space="0" w:sz="8" w:val="single"/>
        <w:bottom w:color="9BBB59" w:space="0" w:sz="8" w:val="single"/>
        <w:right w:color="9BBB59" w:space="0" w:sz="8" w:val="single"/>
        <w:insideH w:color="9BBB59" w:space="0" w:sz="8" w:val="single"/>
        <w:insideV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9BBB59" w:space="0" w:sz="8" w:val="single"/>
          <w:left w:color="9BBB59" w:space="0" w:sz="8" w:val="single"/>
          <w:bottom w:color="9BBB59" w:space="0" w:sz="18" w:val="single"/>
          <w:right w:color="9BBB59" w:space="0" w:sz="8" w:val="single"/>
          <w:insideH w:val="nil"/>
          <w:insideV w:color="9BBB59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6" w:val="double"/>
          <w:left w:color="9BBB59" w:space="0" w:sz="8" w:val="single"/>
          <w:bottom w:color="9BBB59" w:space="0" w:sz="8" w:val="single"/>
          <w:right w:color="9BBB59" w:space="0" w:sz="8" w:val="single"/>
          <w:insideH w:val="nil"/>
          <w:insideV w:color="9BBB59" w:space="0" w:sz="8" w:val="single"/>
        </w:tcBorders>
      </w:tcPr>
    </w:tblStylePr>
    <w:tblStylePr w:type="lastCol">
      <w:rPr>
        <w:b/>
      </w:rPr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  <w:shd w:color="auto" w:fill="E6EED5" w:val="clear"/>
      </w:tcPr>
    </w:tblStylePr>
    <w:tblStylePr w:type="band2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  <w:shd w:color="auto" w:fill="E6EED5" w:val="clear"/>
      </w:tcPr>
    </w:tblStylePr>
  </w:style>
  <w:style w:styleId="Properties" w:type="table">
    <w:name w:val="Properties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Col">
      <w:rPr>
        <w:b/>
      </w:rPr>
    </w:tblStylePr>
    <w:tblStylePr w:type="band1Horz">
      <w:tcPr>
        <w:shd w:color="auto" w:fill="DBE5F1" w:val="clear"/>
      </w:tcPr>
    </w:tblStylePr>
  </w:style>
  <w:style w:styleId="Summaries" w:type="table">
    <w:name w:val="Summaries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B8CCE4" w:val="clear"/>
      </w:tcPr>
    </w:tblStylePr>
    <w:tblStylePr w:type="band1Horz">
      <w:tcPr>
        <w:shd w:color="auto" w:fill="DBE5F1" w:val="clear"/>
      </w:tcPr>
    </w:tblStylePr>
  </w:style>
  <w:style w:styleId="Summaries2" w:type="table">
    <w:name w:val="Summaries2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B8CCE4" w:val="clear"/>
      </w:tcPr>
    </w:tblStylePr>
    <w:tblStylePr w:type="firstCol">
      <w:rPr>
        <w:b/>
      </w:rPr>
    </w:tblStylePr>
    <w:tblStylePr w:type="band1Horz">
      <w:tcPr>
        <w:shd w:color="auto" w:fill="DBE5F1" w:val="clear"/>
      </w:tcPr>
    </w:tblStylePr>
  </w:style>
  <w:style w:styleId="Confirmation" w:type="table">
    <w:name w:val="Confirmation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Col">
      <w:tcPr>
        <w:tcBorders>
          <w:right w:color="943634" w:space="0" w:sz="4" w:val="single"/>
          <w:insideV w:val="nil"/>
        </w:tcBorders>
      </w:tcPr>
    </w:tblStylePr>
  </w:style>
  <w:style w:styleId="Scenario" w:type="table">
    <w:name w:val="Scenario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dashSmallGap"/>
        <w:insideV w:color="BFBFBF" w:space="0" w:sz="4" w:val="dashSmallGap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1Horz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2Horz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1Vert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2Vert">
      <w:tcPr>
        <w:tcBorders>
          <w:insideH w:color="BFBFBF" w:space="0" w:sz="4" w:val="dashSmallGap"/>
          <w:insideV w:color="BFBFBF" w:space="0" w:sz="4" w:val="dashSmallGap"/>
        </w:tcBorders>
      </w:tcPr>
    </w:tblStylePr>
  </w:style>
  <w:style w:styleId="ScenarioNoProcedure" w:type="table">
    <w:name w:val="ScenarioNoProcedure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</w:style>
  <w:style w:styleId="EmptyTable" w:type="table">
    <w:name w:val="EmptyTable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</w:style>
  <w:style w:styleId="TableStyle1" w:type="table">
    <w:name w:val="Table Style 1"/>
    <w:basedOn w:val="TableNormal"/>
    <w:pPr>
      <w:spacing w:after="0" w:before="0"/>
      <w:ind w:left="0" w:right="0"/>
    </w:pPr>
    <w:rPr>
      <w:rFonts w:ascii="Times New Roman" w:cs="Times New Roman" w:eastAsia="Times New Roman" w:hAnsi="Times New Roman"/>
      <w:sz w:val="20"/>
    </w:rPr>
    <w:tblPr>
      <w:tblStyleRowBandSize w:val="1"/>
      <w:tblStyleColBandSize w:val="1"/>
      <w:tblBorders>
        <w:top w:color="DDD9C3" w:space="0" w:sz="4" w:val="single"/>
        <w:left w:color="DDD9C3" w:space="0" w:sz="4" w:val="single"/>
        <w:bottom w:color="DDD9C3" w:space="0" w:sz="4" w:val="single"/>
        <w:right w:color="DDD9C3" w:space="0" w:sz="4" w:val="single"/>
        <w:insideH w:color="DDD9C3" w:space="0" w:sz="4" w:val="single"/>
        <w:insideV w:color="DDD9C3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  <w:tcPr>
        <w:shd w:color="auto" w:fill="D9D9D9" w:val="clear"/>
      </w:tcPr>
    </w:tblStylePr>
  </w:style>
  <w:style w:styleId="TableStyle1CenterHeader" w:type="table">
    <w:name w:val="Table Style 1 (Center Header)"/>
    <w:basedOn w:val="TableNormal"/>
    <w:pPr>
      <w:spacing w:after="0" w:before="0"/>
      <w:ind w:left="0" w:right="0"/>
    </w:pPr>
    <w:tblPr>
      <w:tblStyleRowBandSize w:val="1"/>
      <w:tblStyleColBandSize w:val="1"/>
      <w:tblBorders>
        <w:top w:color="DDD9C3" w:space="0" w:sz="4" w:val="single"/>
        <w:left w:color="DDD9C3" w:space="0" w:sz="4" w:val="single"/>
        <w:bottom w:color="DDD9C3" w:space="0" w:sz="4" w:val="single"/>
        <w:right w:color="DDD9C3" w:space="0" w:sz="4" w:val="single"/>
        <w:insideH w:color="DDD9C3" w:space="0" w:sz="4" w:val="single"/>
        <w:insideV w:color="DDD9C3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  <w:tcPr>
        <w:shd w:color="auto" w:fill="D9D9D9" w:val="clear"/>
      </w:tcPr>
    </w:tblStylePr>
  </w:style>
  <w:style w:styleId="TableNormalSided" w:type="table">
    <w:name w:val="Table Normal (Sided)"/>
    <w:basedOn w:val="TableNormal"/>
    <w:pPr>
      <w:spacing w:after="0" w:before="0"/>
      <w:ind w:left="0" w:right="0"/>
    </w:pPr>
    <w:rPr>
      <w:rFonts w:ascii="Times New Roman" w:cs="Times New Roman" w:eastAsia="Times New Roman" w:hAnsi="Times New Roman"/>
    </w:rPr>
    <w:tblPr>
      <w:tblStyleRowBandSize w:val="1"/>
      <w:tblStyleColBandSize w:val="1"/>
      <w:tblBorders>
        <w:top w:color="D0CECE" w:space="0" w:sz="4" w:val="single"/>
        <w:left w:color="D0CECE" w:space="0" w:sz="4" w:val="single"/>
        <w:bottom w:color="D0CECE" w:space="0" w:sz="4" w:val="single"/>
        <w:right w:color="D0CECE" w:space="0" w:sz="4" w:val="single"/>
        <w:insideH w:color="D0CECE" w:space="0" w:sz="6" w:val="single"/>
        <w:insideV w:color="D0CECE" w:space="0" w:sz="6" w:val="single"/>
      </w:tblBorders>
      <w:tblCellMar>
        <w:top w:type="dxa" w:w="115"/>
        <w:left w:type="dxa" w:w="115"/>
        <w:bottom w:type="dxa" w:w="0"/>
        <w:right w:type="dxa" w:w="115"/>
      </w:tblCellMar>
    </w:tblPr>
    <w:tblStylePr w:type="nwCell">
      <w:rPr>
        <w:b/>
      </w:rPr>
    </w:tblStylePr>
    <w:tblStylePr w:type="firstCol">
      <w:rPr>
        <w:b/>
      </w:rPr>
      <w:tcPr>
        <w:shd w:color="auto" w:fill="D9D9D9" w:val="clear"/>
      </w:tcPr>
    </w:tblStylePr>
  </w:style>
  <w:style w:styleId="LightList-H1" w:type="table">
    <w:name w:val="Light List - H1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262626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2" w:type="table">
    <w:name w:val="Light List - H2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404040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3" w:type="table">
    <w:name w:val="Light List - H3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595959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4" w:type="table">
    <w:name w:val="Light List - H4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7F7F7F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ETLTable" w:type="table">
    <w:name w:val="ETLTable"/>
    <w:basedOn w:val="TableNormal"/>
    <w:pPr>
      <w:spacing w:after="0" w:before="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ADDA90" w:val="clear"/>
      </w:tcPr>
    </w:tblStylePr>
    <w:tblStylePr w:type="band1Horz">
      <w:tcPr>
        <w:shd w:color="auto" w:fill="E7F9DB" w:val="clear"/>
      </w:tcPr>
    </w:tblStylePr>
  </w:style>
  <w:style w:styleId="Confirmationwithheader" w:type="table">
    <w:name w:val="Confirmation (with header)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</w:tblStylePr>
    <w:tblStylePr w:type="firstCol">
      <w:tcPr>
        <w:tcBorders>
          <w:right w:color="943634" w:space="0" w:sz="4" w:val="single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
<Relationships xmlns="http://schemas.openxmlformats.org/package/2006/relationships"><Relationship Id="rId3" Target="webSettings.xml" Type="http://schemas.openxmlformats.org/officeDocument/2006/relationships/webSettings"></Relationship><Relationship Id="rId2" Target="settings.xml" Type="http://schemas.openxmlformats.org/officeDocument/2006/relationships/settings"></Relationship><Relationship Id="rId1" Target="styles.xml" Type="http://schemas.openxmlformats.org/officeDocument/2006/relationships/styles"></Relationship><Relationship Id="rId5" Target="theme/theme1.xml" Type="http://schemas.openxmlformats.org/officeDocument/2006/relationships/theme"></Relationship><Relationship Id="rId4" Target="fontTable.xml" Type="http://schemas.openxmlformats.org/officeDocument/2006/relationships/fontTable"></Relationship><Relationship Id="rId6" Target="numbering.xml" Type="http://schemas.openxmlformats.org/officeDocument/2006/relationships/numbering"></Relationship><Relationship Id="rId11" Target="media/Image0.png" Type="http://schemas.openxmlformats.org/officeDocument/2006/relationships/image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Company>Training XP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
	</dc:title>
  <dc:subject>
	</dc:subject>
  <dc:creator>
	</dc:creator>
  <cp:keywords>
	</cp:keywords>
  <dc:description/>
  <cp:lastModifiedBy>
	</cp:lastModifiedBy>
  <cp:revision>1</cp:revision>
  <dcterms:created xsi:type="dcterms:W3CDTF">2023-05-08T12:45:06+02:00</dcterms:created>
  <dcterms:modified xsi:type="dcterms:W3CDTF">2023-05-08T12:45:06+02:00</dcterms:modified>
</cp:coreProperties>
</file>

<file path=docProps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