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Impediment 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Impediment Log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520"/>
        <w:gridCol w:w="3400"/>
        <w:gridCol w:w="2080"/>
        <w:gridCol w:w="1480"/>
        <w:gridCol w:w="1340"/>
        <w:gridCol w:w="1340"/>
        <w:gridCol w:w="1340"/>
        <w:gridCol w:w="1340"/>
      </w:tblGrid>
      <w:tr>
        <w:trPr>
          <w:tblHeader/>
        </w:trPr>
        <w:tc>
          <w:tcPr>
            <w:tcW w:type="dxa" w:w="2520.0"/>
          </w:tcPr>
          <w:p>
            <w:pPr/>
            <w:r>
              <w:t>Summary</w:t>
            </w:r>
          </w:p>
        </w:tc>
        <w:tc>
          <w:tcPr>
            <w:tcW w:type="dxa" w:w="3400.0"/>
          </w:tcPr>
          <w:p>
            <w:pPr/>
            <w:r>
              <w:t>Description</w:t>
            </w:r>
          </w:p>
        </w:tc>
        <w:tc>
          <w:tcPr>
            <w:tcW w:type="dxa" w:w="2080.0"/>
          </w:tcPr>
          <w:p>
            <w:pPr/>
            <w:r>
              <w:t>Reported by</w:t>
            </w:r>
          </w:p>
        </w:tc>
        <w:tc>
          <w:tcPr>
            <w:tcW w:type="dxa" w:w="1480.0"/>
          </w:tcPr>
          <w:p>
            <w:pPr/>
            <w:r>
              <w:t>Responsible Person</w:t>
            </w:r>
          </w:p>
        </w:tc>
        <w:tc>
          <w:tcPr>
            <w:tcW w:type="dxa" w:w="1340.0"/>
          </w:tcPr>
          <w:p>
            <w:pPr/>
            <w:r>
              <w:t>Status</w:t>
            </w:r>
          </w:p>
        </w:tc>
        <w:tc>
          <w:tcPr>
            <w:tcW w:type="dxa" w:w="1340.0"/>
          </w:tcPr>
          <w:p>
            <w:pPr/>
            <w:r>
              <w:t>Reported Date</w:t>
            </w:r>
          </w:p>
        </w:tc>
        <w:tc>
          <w:tcPr>
            <w:tcW w:type="dxa" w:w="1340.0"/>
          </w:tcPr>
          <w:p>
            <w:pPr/>
            <w:r>
              <w:t>Close Date</w:t>
            </w:r>
          </w:p>
        </w:tc>
        <w:tc>
          <w:tcPr>
            <w:tcW w:type="dxa" w:w="1340.0"/>
          </w:tcPr>
          <w:p>
            <w:pPr/>
            <w:r>
              <w:t>Action Items</w:t>
            </w:r>
          </w:p>
        </w:tc>
      </w:tr>
      <w:tr>
        <w:tc>
          <w:tcPr>
            <w:tcW w:type="dxa" w:w="2520.0"/>
          </w:tcPr>
          <w:p>
            <w:pPr/>
            <w:r>
              <w:t>Niewystarczająca komunikacja pomiędzy zespołami</w:t>
            </w:r>
          </w:p>
        </w:tc>
        <w:tc>
          <w:tcPr>
            <w:tcW w:type="dxa" w:w="3400.0"/>
          </w:tcPr>
          <w:p>
            <w:pPr/>
            <w:r>
              <w:t xml:space="preserve">Ograniczony czas przydzielony na spotkania pomiędzy zespołami</w:t>
            </w:r>
          </w:p>
        </w:tc>
        <w:tc>
          <w:tcPr>
            <w:tcW w:type="dxa" w:w="2080.0"/>
          </w:tcPr>
          <w:p>
            <w:pPr/>
            <w:r>
              <w:t>John Doe</w:t>
            </w:r>
          </w:p>
        </w:tc>
        <w:tc>
          <w:tcPr>
            <w:tcW w:type="dxa" w:w="1480.0"/>
          </w:tcPr>
          <w:p>
            <w:pPr/>
            <w:r>
              <w:t>Tyler Durden</w:t>
            </w:r>
          </w:p>
        </w:tc>
        <w:tc>
          <w:tcPr>
            <w:tcW w:type="dxa" w:w="1340.0"/>
          </w:tcPr>
          <w:p>
            <w:pPr/>
            <w:r>
              <w:t>Fixed</w:t>
            </w:r>
          </w:p>
        </w:tc>
        <w:tc>
          <w:tcPr>
            <w:tcW w:type="dxa" w:w="1340.0"/>
          </w:tcPr>
          <w:p>
            <w:pPr/>
            <w:r>
              <w:t>2023-05-24</w:t>
            </w:r>
          </w:p>
        </w:tc>
        <w:tc>
          <w:tcPr>
            <w:tcW w:type="dxa" w:w="1340.0"/>
          </w:tcPr>
          <w:p>
            <w:pPr/>
            <w:r>
              <w:t>2023-05-25</w:t>
            </w:r>
          </w:p>
        </w:tc>
        <w:tc>
          <w:tcPr>
            <w:tcW w:type="dxa" w:w="1340.0"/>
          </w:tcPr>
          <w:p/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2023-05-25T16:09:57+02:00</dcterms:created>
  <dcterms:modified xsi:type="dcterms:W3CDTF">2023-05-25T16:09:57+02:00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