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Lessons Learned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Lessons Learned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Key Successes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5960"/>
      </w:tblGrid>
      <w:tr>
        <w:trPr>
          <w:tblHeader/>
        </w:trPr>
        <w:tc>
          <w:tcPr>
            <w:tcW w:type="dxa" w:w="3960.0"/>
          </w:tcPr>
          <w:p>
            <w:pPr/>
            <w:r>
              <w:t>Success</w:t>
            </w:r>
          </w:p>
        </w:tc>
        <w:tc>
          <w:tcPr>
            <w:tcW w:type="dxa" w:w="5960.0"/>
          </w:tcPr>
          <w:p>
            <w:pPr/>
            <w:r>
              <w:t>Factors that Contributed to the Success</w:t>
            </w:r>
          </w:p>
        </w:tc>
      </w:tr>
      <w:tr>
        <w:tc>
          <w:tcPr>
            <w:tcW w:type="dxa" w:w="3960.0"/>
          </w:tcPr>
          <w:p>
            <w:pPr/>
            <w:r>
              <w:t>Wszystkie zadania ukończone zgodnie z planem</w:t>
            </w:r>
          </w:p>
        </w:tc>
        <w:tc>
          <w:tcPr>
            <w:tcW w:type="dxa" w:w="5960.0"/>
          </w:tcPr>
          <w:p>
            <w:pPr/>
            <w:r>
              <w:t>Dokładne planowanie czasu na wykonanie zadań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Challenges</w:t>
      </w:r>
    </w:p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1.2.1. Challenges and Difficulties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Challenge / Difficulty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Trudności w implementacji systemu płatności</w:t>
            </w:r>
          </w:p>
        </w:tc>
        <w:tc>
          <w:tcPr>
            <w:tcW w:type="dxa" w:w="3960.0"/>
          </w:tcPr>
          <w:p>
            <w:pPr/>
            <w:r>
              <w:t xml:space="preserve">Potrzebny zgody i uprawnienia na przeprowadzanie płatności elektronicznych</w:t>
            </w:r>
          </w:p>
        </w:tc>
        <w:tc>
          <w:tcPr>
            <w:tcW w:type="dxa" w:w="3460.0"/>
          </w:tcPr>
          <w:p>
            <w:pPr/>
            <w:r>
              <w:t xml:space="preserve">Wyznaczenie większego buforu czasowego na nabycie potrzebnych zgód i uprawnień        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1.2.2. Shortcomings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Shortcoming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Słaba komunikacja pomiędzy zespołami</w:t>
            </w:r>
          </w:p>
        </w:tc>
        <w:tc>
          <w:tcPr>
            <w:tcW w:type="dxa" w:w="3960.0"/>
          </w:tcPr>
          <w:p>
            <w:pPr/>
            <w:r>
              <w:t xml:space="preserve">Zespoły skupiały się na pracy wewnętrznej a nie na pracy z innymi zespołami                </w:t>
            </w:r>
          </w:p>
        </w:tc>
        <w:tc>
          <w:tcPr>
            <w:tcW w:type="dxa" w:w="3460.0"/>
          </w:tcPr>
          <w:p>
            <w:pPr/>
            <w:r>
              <w:t xml:space="preserve">Więcej czasu na spotkania z innymi zespołami i odpowiednie zarządzanie czasem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1.2.3. Recommended Changes</w:t>
      </w:r>
    </w:p>
    <w:p>
      <w:r>
        <w:t xml:space="preserve">Żeby uniknąć nieporozumień i opóźnień w pracy należy dokładnie sprecyzować wytyczne pracy oraz wyzanczyć dodatkowy bufor czasowy na wypadetek opóźnień.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Follow-up Actions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2023-05-25T08:50:02+02:00</dcterms:created>
  <dcterms:modified xsi:type="dcterms:W3CDTF">2023-05-25T08:50:02+02:00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