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Product Backlog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1905" w:orient="landscape" w:w="16837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Product Backlog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User Story Map</w:t>
      </w:r>
    </w:p>
    <w:p>
      <w:pPr>
        <w:keepNext/>
        <w:jc w:val="center"/>
      </w:pPr>
      <w:r>
        <w:drawing>
          <wp:inline distB="0" distL="0" distR="0" distT="0">
            <wp:extent cx="9347200" cy="1549400"/>
            <wp:effectExtent b="0" l="0" r="0" t="0"/>
            <wp:docPr id="1" name="Image0.png" title="UeXce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472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Prioritized User Stories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20"/>
        <w:gridCol w:w="3300"/>
        <w:gridCol w:w="2920"/>
        <w:gridCol w:w="1640"/>
        <w:gridCol w:w="660"/>
        <w:gridCol w:w="1160"/>
        <w:gridCol w:w="760"/>
        <w:gridCol w:w="560"/>
        <w:gridCol w:w="560"/>
        <w:gridCol w:w="2000"/>
        <w:gridCol w:w="640"/>
      </w:tblGrid>
      <w:tr>
        <w:trPr>
          <w:tblHeader/>
        </w:trPr>
        <w:tc>
          <w:tcPr>
            <w:tcW w:type="dxa" w:w="420.0"/>
          </w:tcPr>
          <w:p>
            <w:pPr/>
            <w:r>
              <w:rPr>
                <w:b/>
                <w:sz w:val="24"/>
              </w:rPr>
              <w:t>ID</w:t>
            </w:r>
          </w:p>
        </w:tc>
        <w:tc>
          <w:tcPr>
            <w:tcW w:type="dxa" w:w="330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292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640.0"/>
          </w:tcPr>
          <w:p>
            <w:pPr/>
            <w:r>
              <w:rPr>
                <w:b/>
                <w:sz w:val="24"/>
              </w:rPr>
              <w:t>Epic</w:t>
            </w:r>
          </w:p>
        </w:tc>
        <w:tc>
          <w:tcPr>
            <w:tcW w:type="dxa" w:w="660.0"/>
          </w:tcPr>
          <w:p>
            <w:pPr/>
            <w:r>
              <w:rPr>
                <w:b/>
                <w:sz w:val="24"/>
              </w:rPr>
              <w:t>Status</w:t>
            </w:r>
          </w:p>
        </w:tc>
        <w:tc>
          <w:tcPr>
            <w:tcW w:type="dxa" w:w="1160.0"/>
          </w:tcPr>
          <w:p>
            <w:pPr/>
            <w:r>
              <w:rPr>
                <w:b/>
                <w:sz w:val="24"/>
              </w:rPr>
              <w:t>Acceptance Criteria</w:t>
            </w:r>
          </w:p>
        </w:tc>
        <w:tc>
          <w:tcPr>
            <w:tcW w:type="dxa" w:w="760.0"/>
          </w:tcPr>
          <w:p>
            <w:pPr/>
            <w:r>
              <w:rPr>
                <w:b/>
                <w:sz w:val="24"/>
              </w:rPr>
              <w:t>Story Points</w:t>
            </w:r>
          </w:p>
        </w:tc>
        <w:tc>
          <w:tcPr>
            <w:tcW w:type="dxa" w:w="56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560.0"/>
          </w:tcPr>
          <w:p>
            <w:pPr/>
            <w:r>
              <w:rPr>
                <w:b/>
                <w:sz w:val="24"/>
              </w:rPr>
              <w:t>Risk</w:t>
            </w:r>
          </w:p>
        </w:tc>
        <w:tc>
          <w:tcPr>
            <w:tcW w:type="dxa" w:w="2000.0"/>
          </w:tcPr>
          <w:p>
            <w:pPr/>
            <w:r>
              <w:rPr>
                <w:b/>
                <w:sz w:val="24"/>
              </w:rPr>
              <w:t>Split From</w:t>
            </w:r>
          </w:p>
        </w:tc>
        <w:tc>
          <w:tcPr>
            <w:tcW w:type="dxa" w:w="640.0"/>
          </w:tcPr>
          <w:p>
            <w:pPr/>
            <w:r>
              <w:rPr>
                <w:b/>
                <w:sz w:val="24"/>
              </w:rPr>
              <w:t>Due Date</w:t>
            </w:r>
          </w:p>
        </w:tc>
      </w:tr>
      <w:tr>
        <w:tc>
          <w:tcPr>
            <w:tcW w:type="dxa" w:w="420.0"/>
          </w:tcPr>
          <w:p>
            <w:pPr/>
            <w:r>
              <w:t>US005</w:t>
            </w:r>
          </w:p>
        </w:tc>
        <w:tc>
          <w:tcPr>
            <w:tcW w:type="dxa" w:w="3300.0"/>
          </w:tcPr>
          <w:p>
            <w:pPr/>
            <w:r>
              <w:t>Napisz opinię</w:t>
            </w:r>
          </w:p>
        </w:tc>
        <w:tc>
          <w:tcPr>
            <w:tcW w:type="dxa" w:w="2920.0"/>
          </w:tcPr>
          <w:p>
            <w:pPr/>
            <w:r>
              <w:t xml:space="preserve">Użytkownik może napisać opinie</w:t>
            </w:r>
          </w:p>
        </w:tc>
        <w:tc>
          <w:tcPr>
            <w:tcW w:type="dxa" w:w="1640.0"/>
          </w:tcPr>
          <w:p>
            <w:pPr/>
            <w:r>
              <w:t>Napisz opinie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US006</w:t>
            </w:r>
          </w:p>
        </w:tc>
        <w:tc>
          <w:tcPr>
            <w:tcW w:type="dxa" w:w="3300.0"/>
          </w:tcPr>
          <w:p>
            <w:pPr/>
            <w:r>
              <w:t>Wyślij opinię</w:t>
            </w:r>
          </w:p>
        </w:tc>
        <w:tc>
          <w:tcPr>
            <w:tcW w:type="dxa" w:w="2920.0"/>
          </w:tcPr>
          <w:p>
            <w:pPr/>
            <w:r>
              <w:t xml:space="preserve">Użytkownik może wysłać opinię do biura obsługi klienta</w:t>
            </w:r>
          </w:p>
        </w:tc>
        <w:tc>
          <w:tcPr>
            <w:tcW w:type="dxa" w:w="1640.0"/>
          </w:tcPr>
          <w:p>
            <w:pPr/>
            <w:r>
              <w:t>Napisz opinie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27</w:t>
            </w:r>
          </w:p>
        </w:tc>
      </w:tr>
      <w:tr>
        <w:tc>
          <w:tcPr>
            <w:tcW w:type="dxa" w:w="420.0"/>
          </w:tcPr>
          <w:p>
            <w:pPr/>
            <w:r>
              <w:t>US008</w:t>
            </w:r>
          </w:p>
        </w:tc>
        <w:tc>
          <w:tcPr>
            <w:tcW w:type="dxa" w:w="3300.0"/>
          </w:tcPr>
          <w:p>
            <w:pPr/>
            <w:r>
              <w:t>Podaj login i hasło</w:t>
            </w:r>
          </w:p>
        </w:tc>
        <w:tc>
          <w:tcPr>
            <w:tcW w:type="dxa" w:w="2920.0"/>
          </w:tcPr>
          <w:p>
            <w:pPr/>
            <w:r>
              <w:t xml:space="preserve">Użytkownik może podać login i hasło przy logowaniu</w:t>
            </w:r>
          </w:p>
        </w:tc>
        <w:tc>
          <w:tcPr>
            <w:tcW w:type="dxa" w:w="1640.0"/>
          </w:tcPr>
          <w:p>
            <w:pPr/>
            <w:r>
              <w:t>Zaloguj się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Must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27</w:t>
            </w:r>
          </w:p>
        </w:tc>
      </w:tr>
      <w:tr>
        <w:tc>
          <w:tcPr>
            <w:tcW w:type="dxa" w:w="420.0"/>
          </w:tcPr>
          <w:p>
            <w:pPr/>
            <w:r>
              <w:t>US009</w:t>
            </w:r>
          </w:p>
        </w:tc>
        <w:tc>
          <w:tcPr>
            <w:tcW w:type="dxa" w:w="3300.0"/>
          </w:tcPr>
          <w:p>
            <w:pPr/>
            <w:r>
              <w:t>Zaloguj się</w:t>
            </w:r>
          </w:p>
        </w:tc>
        <w:tc>
          <w:tcPr>
            <w:tcW w:type="dxa" w:w="2920.0"/>
          </w:tcPr>
          <w:p>
            <w:pPr/>
            <w:r>
              <w:t xml:space="preserve">Użytkownik może się zalogować</w:t>
            </w:r>
          </w:p>
        </w:tc>
        <w:tc>
          <w:tcPr>
            <w:tcW w:type="dxa" w:w="1640.0"/>
          </w:tcPr>
          <w:p>
            <w:pPr/>
            <w:r>
              <w:t>Zaloguj się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Must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US011</w:t>
            </w:r>
          </w:p>
        </w:tc>
        <w:tc>
          <w:tcPr>
            <w:tcW w:type="dxa" w:w="3300.0"/>
          </w:tcPr>
          <w:p>
            <w:pPr/>
            <w:r>
              <w:t>Podaj dane do rejestracji</w:t>
            </w:r>
          </w:p>
        </w:tc>
        <w:tc>
          <w:tcPr>
            <w:tcW w:type="dxa" w:w="2920.0"/>
          </w:tcPr>
          <w:p>
            <w:pPr/>
            <w:r>
              <w:t xml:space="preserve">Użytkownik może podać swoje dane do rejestracji</w:t>
            </w:r>
          </w:p>
        </w:tc>
        <w:tc>
          <w:tcPr>
            <w:tcW w:type="dxa" w:w="1640.0"/>
          </w:tcPr>
          <w:p>
            <w:pPr/>
            <w:r>
              <w:t>Zarejestruj się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Must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US012</w:t>
            </w:r>
          </w:p>
        </w:tc>
        <w:tc>
          <w:tcPr>
            <w:tcW w:type="dxa" w:w="3300.0"/>
          </w:tcPr>
          <w:p>
            <w:pPr/>
            <w:r>
              <w:t>Zarejestruj się</w:t>
            </w:r>
          </w:p>
        </w:tc>
        <w:tc>
          <w:tcPr>
            <w:tcW w:type="dxa" w:w="2920.0"/>
          </w:tcPr>
          <w:p>
            <w:pPr/>
            <w:r>
              <w:t xml:space="preserve">Użytkownik może się zarejestrować</w:t>
            </w:r>
          </w:p>
        </w:tc>
        <w:tc>
          <w:tcPr>
            <w:tcW w:type="dxa" w:w="1640.0"/>
          </w:tcPr>
          <w:p>
            <w:pPr/>
            <w:r>
              <w:t>Zarejestruj się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Must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US014</w:t>
            </w:r>
          </w:p>
        </w:tc>
        <w:tc>
          <w:tcPr>
            <w:tcW w:type="dxa" w:w="3300.0"/>
          </w:tcPr>
          <w:p>
            <w:pPr/>
            <w:r>
              <w:t>Wybierz wymiary przesyłki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rozmiary przesyłki</w:t>
            </w:r>
          </w:p>
        </w:tc>
        <w:tc>
          <w:tcPr>
            <w:tcW w:type="dxa" w:w="1640.0"/>
          </w:tcPr>
          <w:p>
            <w:pPr/>
            <w:r>
              <w:t>Wybierz wymiary przesyłki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Must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US016</w:t>
            </w:r>
          </w:p>
        </w:tc>
        <w:tc>
          <w:tcPr>
            <w:tcW w:type="dxa" w:w="3300.0"/>
          </w:tcPr>
          <w:p>
            <w:pPr/>
            <w:r>
              <w:t>Wybierz rodzaj przesyłki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rodzaj przesyłki</w:t>
            </w:r>
          </w:p>
        </w:tc>
        <w:tc>
          <w:tcPr>
            <w:tcW w:type="dxa" w:w="1640.0"/>
          </w:tcPr>
          <w:p>
            <w:pPr/>
            <w:r>
              <w:t>Wybierz maksymalną wagę przesyłki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Must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US017</w:t>
            </w:r>
          </w:p>
        </w:tc>
        <w:tc>
          <w:tcPr>
            <w:tcW w:type="dxa" w:w="3300.0"/>
          </w:tcPr>
          <w:p>
            <w:pPr/>
            <w:r>
              <w:t>Wybierz maksymalną wagę przesyłki</w:t>
            </w:r>
          </w:p>
        </w:tc>
        <w:tc>
          <w:tcPr>
            <w:tcW w:type="dxa" w:w="2920.0"/>
          </w:tcPr>
          <w:p>
            <w:pPr/>
            <w:r>
              <w:t xml:space="preserve">Użytkownik możę wybrać max wagę przesyłki</w:t>
            </w:r>
          </w:p>
        </w:tc>
        <w:tc>
          <w:tcPr>
            <w:tcW w:type="dxa" w:w="1640.0"/>
          </w:tcPr>
          <w:p>
            <w:pPr/>
            <w:r>
              <w:t>Wybierz maksymalną wagę przesyłki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Must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US019</w:t>
            </w:r>
          </w:p>
        </w:tc>
        <w:tc>
          <w:tcPr>
            <w:tcW w:type="dxa" w:w="3300.0"/>
          </w:tcPr>
          <w:p>
            <w:pPr/>
            <w:r>
              <w:t>Wybierz czas dostawy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czas dostawy do domu</w:t>
            </w:r>
          </w:p>
        </w:tc>
        <w:tc>
          <w:tcPr>
            <w:tcW w:type="dxa" w:w="1640.0"/>
          </w:tcPr>
          <w:p>
            <w:pPr/>
            <w:r>
              <w:t>Wybierz formę dostawy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Could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US020</w:t>
            </w:r>
          </w:p>
        </w:tc>
        <w:tc>
          <w:tcPr>
            <w:tcW w:type="dxa" w:w="3300.0"/>
          </w:tcPr>
          <w:p>
            <w:pPr/>
            <w:r>
              <w:t>Wybierz dostawę do paczkomatu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dostawę do paczkomatu</w:t>
            </w:r>
          </w:p>
        </w:tc>
        <w:tc>
          <w:tcPr>
            <w:tcW w:type="dxa" w:w="1640.0"/>
          </w:tcPr>
          <w:p>
            <w:pPr/>
            <w:r>
              <w:t>Wybierz formę dostawy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US021</w:t>
            </w:r>
          </w:p>
        </w:tc>
        <w:tc>
          <w:tcPr>
            <w:tcW w:type="dxa" w:w="3300.0"/>
          </w:tcPr>
          <w:p>
            <w:pPr/>
            <w:r>
              <w:t>Zapłać kartą</w:t>
            </w:r>
          </w:p>
        </w:tc>
        <w:tc>
          <w:tcPr>
            <w:tcW w:type="dxa" w:w="2920.0"/>
          </w:tcPr>
          <w:p>
            <w:pPr/>
            <w:r>
              <w:t xml:space="preserve">Użytkownik może zapłacić kartą</w:t>
            </w:r>
          </w:p>
        </w:tc>
        <w:tc>
          <w:tcPr>
            <w:tcW w:type="dxa" w:w="1640.0"/>
          </w:tcPr>
          <w:p>
            <w:pPr/>
            <w:r>
              <w:t>Wybierz formę płatności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Must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US022</w:t>
            </w:r>
          </w:p>
        </w:tc>
        <w:tc>
          <w:tcPr>
            <w:tcW w:type="dxa" w:w="3300.0"/>
          </w:tcPr>
          <w:p>
            <w:pPr/>
            <w:r>
              <w:t>Zapłać Blkiem</w:t>
            </w:r>
          </w:p>
        </w:tc>
        <w:tc>
          <w:tcPr>
            <w:tcW w:type="dxa" w:w="2920.0"/>
          </w:tcPr>
          <w:p>
            <w:pPr/>
            <w:r>
              <w:t xml:space="preserve">Użytkownik może zapłacić BLIKiem</w:t>
            </w:r>
          </w:p>
        </w:tc>
        <w:tc>
          <w:tcPr>
            <w:tcW w:type="dxa" w:w="1640.0"/>
          </w:tcPr>
          <w:p>
            <w:pPr/>
            <w:r>
              <w:t>Wybierz formę płatności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US023</w:t>
            </w:r>
          </w:p>
        </w:tc>
        <w:tc>
          <w:tcPr>
            <w:tcW w:type="dxa" w:w="3300.0"/>
          </w:tcPr>
          <w:p>
            <w:pPr/>
            <w:r>
              <w:t>Zapłać gotówką</w:t>
            </w:r>
          </w:p>
        </w:tc>
        <w:tc>
          <w:tcPr>
            <w:tcW w:type="dxa" w:w="2920.0"/>
          </w:tcPr>
          <w:p>
            <w:pPr/>
            <w:r>
              <w:t xml:space="preserve">Użytkownik może zapłacić gotówką</w:t>
            </w:r>
          </w:p>
        </w:tc>
        <w:tc>
          <w:tcPr>
            <w:tcW w:type="dxa" w:w="1640.0"/>
          </w:tcPr>
          <w:p>
            <w:pPr/>
            <w:r>
              <w:t>Wybierz formę płatności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Must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US024</w:t>
            </w:r>
          </w:p>
        </w:tc>
        <w:tc>
          <w:tcPr>
            <w:tcW w:type="dxa" w:w="3300.0"/>
          </w:tcPr>
          <w:p>
            <w:pPr/>
            <w:r>
              <w:t>Zapłać PayPalem</w:t>
            </w:r>
          </w:p>
        </w:tc>
        <w:tc>
          <w:tcPr>
            <w:tcW w:type="dxa" w:w="2920.0"/>
          </w:tcPr>
          <w:p>
            <w:pPr/>
            <w:r>
              <w:t xml:space="preserve">Użytkownik może zapłacić PayPalem</w:t>
            </w:r>
          </w:p>
        </w:tc>
        <w:tc>
          <w:tcPr>
            <w:tcW w:type="dxa" w:w="1640.0"/>
          </w:tcPr>
          <w:p>
            <w:pPr/>
            <w:r>
              <w:t>Wybierz formę płatności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Could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US026</w:t>
            </w:r>
          </w:p>
        </w:tc>
        <w:tc>
          <w:tcPr>
            <w:tcW w:type="dxa" w:w="3300.0"/>
          </w:tcPr>
          <w:p>
            <w:pPr/>
            <w:r>
              <w:t>Wybierz paczkę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paczki które chce śledzić</w:t>
            </w:r>
          </w:p>
        </w:tc>
        <w:tc>
          <w:tcPr>
            <w:tcW w:type="dxa" w:w="1640.0"/>
          </w:tcPr>
          <w:p>
            <w:pPr/>
            <w:r>
              <w:t>Śledź paczkę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US027</w:t>
            </w:r>
          </w:p>
        </w:tc>
        <w:tc>
          <w:tcPr>
            <w:tcW w:type="dxa" w:w="3300.0"/>
          </w:tcPr>
          <w:p>
            <w:pPr/>
            <w:r>
              <w:t>Śledź paczkę</w:t>
            </w:r>
          </w:p>
        </w:tc>
        <w:tc>
          <w:tcPr>
            <w:tcW w:type="dxa" w:w="2920.0"/>
          </w:tcPr>
          <w:p>
            <w:pPr/>
            <w:r>
              <w:t xml:space="preserve">Użytkownik może śledzić paczkę</w:t>
            </w:r>
          </w:p>
        </w:tc>
        <w:tc>
          <w:tcPr>
            <w:tcW w:type="dxa" w:w="1640.0"/>
          </w:tcPr>
          <w:p>
            <w:pPr/>
            <w:r>
              <w:t>Śledź paczkę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US029</w:t>
            </w:r>
          </w:p>
        </w:tc>
        <w:tc>
          <w:tcPr>
            <w:tcW w:type="dxa" w:w="3300.0"/>
          </w:tcPr>
          <w:p>
            <w:pPr/>
            <w:r>
              <w:t>Wybierz powiadomienia SMS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formę powiadomień SMS</w:t>
            </w:r>
          </w:p>
        </w:tc>
        <w:tc>
          <w:tcPr>
            <w:tcW w:type="dxa" w:w="1640.0"/>
          </w:tcPr>
          <w:p>
            <w:pPr/>
            <w:r>
              <w:t>Wybierz formy powiadomień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US030</w:t>
            </w:r>
          </w:p>
        </w:tc>
        <w:tc>
          <w:tcPr>
            <w:tcW w:type="dxa" w:w="3300.0"/>
          </w:tcPr>
          <w:p>
            <w:pPr/>
            <w:r>
              <w:t>Wybierz powiadomienia e-mail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formę powiadomień e-mail</w:t>
            </w:r>
          </w:p>
        </w:tc>
        <w:tc>
          <w:tcPr>
            <w:tcW w:type="dxa" w:w="1640.0"/>
          </w:tcPr>
          <w:p>
            <w:pPr/>
            <w:r>
              <w:t>Wybierz formy powiadomień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US032</w:t>
            </w:r>
          </w:p>
        </w:tc>
        <w:tc>
          <w:tcPr>
            <w:tcW w:type="dxa" w:w="3300.0"/>
          </w:tcPr>
          <w:p>
            <w:pPr/>
            <w:r>
              <w:t>Włącz powiadomienia</w:t>
            </w:r>
          </w:p>
        </w:tc>
        <w:tc>
          <w:tcPr>
            <w:tcW w:type="dxa" w:w="2920.0"/>
          </w:tcPr>
          <w:p>
            <w:pPr/>
            <w:r>
              <w:t xml:space="preserve">Użytkownik może włączyć powiadomienia</w:t>
            </w:r>
          </w:p>
        </w:tc>
        <w:tc>
          <w:tcPr>
            <w:tcW w:type="dxa" w:w="1640.0"/>
          </w:tcPr>
          <w:p>
            <w:pPr/>
            <w:r>
              <w:t>Włącz powiadomienia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US035</w:t>
            </w:r>
          </w:p>
        </w:tc>
        <w:tc>
          <w:tcPr>
            <w:tcW w:type="dxa" w:w="3300.0"/>
          </w:tcPr>
          <w:p>
            <w:pPr/>
            <w:r>
              <w:t>Opłać przesyłkę</w:t>
            </w:r>
          </w:p>
        </w:tc>
        <w:tc>
          <w:tcPr>
            <w:tcW w:type="dxa" w:w="2920.0"/>
          </w:tcPr>
          <w:p>
            <w:pPr/>
            <w:r>
              <w:t xml:space="preserve">Użytkownik może opłacić przesyłkę</w:t>
            </w:r>
          </w:p>
        </w:tc>
        <w:tc>
          <w:tcPr>
            <w:tcW w:type="dxa" w:w="1640.0"/>
          </w:tcPr>
          <w:p>
            <w:pPr/>
            <w:r>
              <w:t>Opłać przesyłkę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Must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US037</w:t>
            </w:r>
          </w:p>
        </w:tc>
        <w:tc>
          <w:tcPr>
            <w:tcW w:type="dxa" w:w="3300.0"/>
          </w:tcPr>
          <w:p>
            <w:pPr/>
            <w:r>
              <w:t>Zaznacz komentarze do usunięcia</w:t>
            </w:r>
          </w:p>
        </w:tc>
        <w:tc>
          <w:tcPr>
            <w:tcW w:type="dxa" w:w="2920.0"/>
          </w:tcPr>
          <w:p>
            <w:pPr/>
            <w:r>
              <w:t xml:space="preserve">Administrator może zaznaczyć komentarze do usunięcia</w:t>
            </w:r>
          </w:p>
        </w:tc>
        <w:tc>
          <w:tcPr>
            <w:tcW w:type="dxa" w:w="1640.0"/>
          </w:tcPr>
          <w:p>
            <w:pPr/>
            <w:r>
              <w:t>Zaznacz komentarze do usunięcia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Could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US039</w:t>
            </w:r>
          </w:p>
        </w:tc>
        <w:tc>
          <w:tcPr>
            <w:tcW w:type="dxa" w:w="3300.0"/>
          </w:tcPr>
          <w:p>
            <w:pPr/>
            <w:r>
              <w:t>Usuń komentarz</w:t>
            </w:r>
          </w:p>
        </w:tc>
        <w:tc>
          <w:tcPr>
            <w:tcW w:type="dxa" w:w="2920.0"/>
          </w:tcPr>
          <w:p>
            <w:pPr/>
            <w:r>
              <w:t xml:space="preserve">Administrator może usunąć komentarz</w:t>
            </w:r>
          </w:p>
        </w:tc>
        <w:tc>
          <w:tcPr>
            <w:tcW w:type="dxa" w:w="1640.0"/>
          </w:tcPr>
          <w:p>
            <w:pPr/>
            <w:r>
              <w:t>Usuń komentarz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Could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US043</w:t>
            </w:r>
          </w:p>
        </w:tc>
        <w:tc>
          <w:tcPr>
            <w:tcW w:type="dxa" w:w="3300.0"/>
          </w:tcPr>
          <w:p>
            <w:pPr/>
            <w:r>
              <w:t>Wybierz paczkę do zwrotu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paczkę do zwrotu</w:t>
            </w:r>
          </w:p>
        </w:tc>
        <w:tc>
          <w:tcPr>
            <w:tcW w:type="dxa" w:w="1640.0"/>
          </w:tcPr>
          <w:p>
            <w:pPr/>
            <w:r>
              <w:t>Wybierz paczkę do zwrotu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US044</w:t>
            </w:r>
          </w:p>
        </w:tc>
        <w:tc>
          <w:tcPr>
            <w:tcW w:type="dxa" w:w="3300.0"/>
          </w:tcPr>
          <w:p>
            <w:pPr/>
            <w:r>
              <w:t>Nadaj paczkę w paczkomacie</w:t>
            </w:r>
          </w:p>
        </w:tc>
        <w:tc>
          <w:tcPr>
            <w:tcW w:type="dxa" w:w="2920.0"/>
          </w:tcPr>
          <w:p>
            <w:pPr/>
            <w:r>
              <w:t xml:space="preserve">Użytkownik ma możliwość nadania paczki w paczkomacie</w:t>
            </w:r>
          </w:p>
        </w:tc>
        <w:tc>
          <w:tcPr>
            <w:tcW w:type="dxa" w:w="1640.0"/>
          </w:tcPr>
          <w:p>
            <w:pPr/>
            <w:r>
              <w:t>Wybierz formę zwrotu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US045</w:t>
            </w:r>
          </w:p>
        </w:tc>
        <w:tc>
          <w:tcPr>
            <w:tcW w:type="dxa" w:w="3300.0"/>
          </w:tcPr>
          <w:p>
            <w:pPr/>
            <w:r>
              <w:t>Nadaj paczkę w sklepie</w:t>
            </w:r>
          </w:p>
        </w:tc>
        <w:tc>
          <w:tcPr>
            <w:tcW w:type="dxa" w:w="2920.0"/>
          </w:tcPr>
          <w:p>
            <w:pPr/>
            <w:r>
              <w:t xml:space="preserve">Użytkownik ma możliwość nadania paczki w sklepie</w:t>
            </w:r>
          </w:p>
        </w:tc>
        <w:tc>
          <w:tcPr>
            <w:tcW w:type="dxa" w:w="1640.0"/>
          </w:tcPr>
          <w:p>
            <w:pPr/>
            <w:r>
              <w:t>Wybierz formę zwrotu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Could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US046</w:t>
            </w:r>
          </w:p>
        </w:tc>
        <w:tc>
          <w:tcPr>
            <w:tcW w:type="dxa" w:w="3300.0"/>
          </w:tcPr>
          <w:p>
            <w:pPr/>
            <w:r>
              <w:t>Zwróć paczkę</w:t>
            </w:r>
          </w:p>
        </w:tc>
        <w:tc>
          <w:tcPr>
            <w:tcW w:type="dxa" w:w="2920.0"/>
          </w:tcPr>
          <w:p>
            <w:pPr/>
            <w:r>
              <w:t xml:space="preserve">Użytkownik ma możliwość zwrócenia paczki</w:t>
            </w:r>
          </w:p>
        </w:tc>
        <w:tc>
          <w:tcPr>
            <w:tcW w:type="dxa" w:w="1640.0"/>
          </w:tcPr>
          <w:p>
            <w:pPr/>
            <w:r>
              <w:t>Zwróć Paczkę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US060</w:t>
            </w:r>
          </w:p>
        </w:tc>
        <w:tc>
          <w:tcPr>
            <w:tcW w:type="dxa" w:w="3300.0"/>
          </w:tcPr>
          <w:p>
            <w:pPr/>
            <w:r>
              <w:t>Wybierz kontakt telefoniczny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formę kontaktu telefonicznego w aplikacji</w:t>
            </w:r>
          </w:p>
        </w:tc>
        <w:tc>
          <w:tcPr>
            <w:tcW w:type="dxa" w:w="1640.0"/>
          </w:tcPr>
          <w:p>
            <w:pPr/>
            <w:r>
              <w:t>Wybierz formę kontaktu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Could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US061</w:t>
            </w:r>
          </w:p>
        </w:tc>
        <w:tc>
          <w:tcPr>
            <w:tcW w:type="dxa" w:w="3300.0"/>
          </w:tcPr>
          <w:p>
            <w:pPr/>
            <w:r>
              <w:t>Wybierz kontakt mailowy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formę kontaktu email w aplikacji</w:t>
            </w:r>
          </w:p>
        </w:tc>
        <w:tc>
          <w:tcPr>
            <w:tcW w:type="dxa" w:w="1640.0"/>
          </w:tcPr>
          <w:p>
            <w:pPr/>
            <w:r>
              <w:t>Wybierz formę kontaktu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US063</w:t>
            </w:r>
          </w:p>
        </w:tc>
        <w:tc>
          <w:tcPr>
            <w:tcW w:type="dxa" w:w="3300.0"/>
          </w:tcPr>
          <w:p>
            <w:pPr/>
            <w:r>
              <w:t>Skontaktuj się z pomocą</w:t>
            </w:r>
          </w:p>
        </w:tc>
        <w:tc>
          <w:tcPr>
            <w:tcW w:type="dxa" w:w="2920.0"/>
          </w:tcPr>
          <w:p>
            <w:pPr/>
            <w:r>
              <w:t xml:space="preserve">Użytkownik może skontaktować się z pomocą</w:t>
            </w:r>
          </w:p>
        </w:tc>
        <w:tc>
          <w:tcPr>
            <w:tcW w:type="dxa" w:w="1640.0"/>
          </w:tcPr>
          <w:p>
            <w:pPr/>
            <w:r>
              <w:t>Skontaktuj się z pomocą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US065</w:t>
            </w:r>
          </w:p>
        </w:tc>
        <w:tc>
          <w:tcPr>
            <w:tcW w:type="dxa" w:w="3300.0"/>
          </w:tcPr>
          <w:p>
            <w:pPr/>
            <w:r>
              <w:t>Wyświetl cenę</w:t>
            </w:r>
          </w:p>
        </w:tc>
        <w:tc>
          <w:tcPr>
            <w:tcW w:type="dxa" w:w="2920.0"/>
          </w:tcPr>
          <w:p>
            <w:pPr/>
            <w:r>
              <w:t xml:space="preserve">Użytkownik może wyświetlić cenę wysłania przesyłki</w:t>
            </w:r>
          </w:p>
        </w:tc>
        <w:tc>
          <w:tcPr>
            <w:tcW w:type="dxa" w:w="1640.0"/>
          </w:tcPr>
          <w:p>
            <w:pPr/>
            <w:r>
              <w:t>Wyświetl cenę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US066</w:t>
            </w:r>
          </w:p>
        </w:tc>
        <w:tc>
          <w:tcPr>
            <w:tcW w:type="dxa" w:w="3300.0"/>
          </w:tcPr>
          <w:p>
            <w:pPr/>
            <w:r>
              <w:t>Wybierz dostawę do domu</w:t>
            </w:r>
          </w:p>
        </w:tc>
        <w:tc>
          <w:tcPr>
            <w:tcW w:type="dxa" w:w="2920.0"/>
          </w:tcPr>
          <w:p>
            <w:pPr/>
            <w:r>
              <w:t xml:space="preserve">Użytkownik  może wybrać dostawę do domu</w:t>
            </w:r>
          </w:p>
        </w:tc>
        <w:tc>
          <w:tcPr>
            <w:tcW w:type="dxa" w:w="1640.0"/>
          </w:tcPr>
          <w:p>
            <w:pPr/>
            <w:r>
              <w:t>Wybierz formę dostawy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US067</w:t>
            </w:r>
          </w:p>
        </w:tc>
        <w:tc>
          <w:tcPr>
            <w:tcW w:type="dxa" w:w="3300.0"/>
          </w:tcPr>
          <w:p>
            <w:pPr/>
            <w:r>
              <w:t>Wybierz optymlany czas przerwy technicznej</w:t>
            </w:r>
          </w:p>
        </w:tc>
        <w:tc>
          <w:tcPr>
            <w:tcW w:type="dxa" w:w="2920.0"/>
          </w:tcPr>
          <w:p>
            <w:pPr/>
            <w:r>
              <w:t xml:space="preserve">Administrator ma możliwość wybrania czasu przerwy technicznej</w:t>
            </w:r>
          </w:p>
        </w:tc>
        <w:tc>
          <w:tcPr>
            <w:tcW w:type="dxa" w:w="1640.0"/>
          </w:tcPr>
          <w:p>
            <w:pPr/>
            <w:r>
              <w:t>Wybierz czas przerwy technicznej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US068</w:t>
            </w:r>
          </w:p>
        </w:tc>
        <w:tc>
          <w:tcPr>
            <w:tcW w:type="dxa" w:w="3300.0"/>
          </w:tcPr>
          <w:p>
            <w:pPr/>
            <w:r>
              <w:t>Zatwierdź czas przerwy technicznej</w:t>
            </w:r>
          </w:p>
        </w:tc>
        <w:tc>
          <w:tcPr>
            <w:tcW w:type="dxa" w:w="2920.0"/>
          </w:tcPr>
          <w:p>
            <w:pPr/>
            <w:r>
              <w:t xml:space="preserve">Administrator może zatwierdzić czas przerwy technicznej</w:t>
            </w:r>
          </w:p>
        </w:tc>
        <w:tc>
          <w:tcPr>
            <w:tcW w:type="dxa" w:w="1640.0"/>
          </w:tcPr>
          <w:p>
            <w:pPr/>
            <w:r>
              <w:t>Wybierz czas przerwy technicznej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US069</w:t>
            </w:r>
          </w:p>
        </w:tc>
        <w:tc>
          <w:tcPr>
            <w:tcW w:type="dxa" w:w="3300.0"/>
          </w:tcPr>
          <w:p>
            <w:pPr/>
            <w:r>
              <w:t>Wyślij powiadomienia sms</w:t>
            </w:r>
          </w:p>
        </w:tc>
        <w:tc>
          <w:tcPr>
            <w:tcW w:type="dxa" w:w="2920.0"/>
          </w:tcPr>
          <w:p>
            <w:pPr/>
            <w:r>
              <w:t xml:space="preserve">Użytkownicy dostają powiadomienia sms o przerwie technicznej</w:t>
            </w:r>
          </w:p>
        </w:tc>
        <w:tc>
          <w:tcPr>
            <w:tcW w:type="dxa" w:w="1640.0"/>
          </w:tcPr>
          <w:p>
            <w:pPr/>
            <w:r>
              <w:t>Wyślij powiadomienia użytkownikom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US070</w:t>
            </w:r>
          </w:p>
        </w:tc>
        <w:tc>
          <w:tcPr>
            <w:tcW w:type="dxa" w:w="3300.0"/>
          </w:tcPr>
          <w:p>
            <w:pPr/>
            <w:r>
              <w:t>Wyślij powiadomienia e-mail</w:t>
            </w:r>
          </w:p>
        </w:tc>
        <w:tc>
          <w:tcPr>
            <w:tcW w:type="dxa" w:w="2920.0"/>
          </w:tcPr>
          <w:p>
            <w:pPr/>
            <w:r>
              <w:t xml:space="preserve">Użytkownicy dostają powiadomienia e-mail o przerwie technicznej</w:t>
            </w:r>
          </w:p>
        </w:tc>
        <w:tc>
          <w:tcPr>
            <w:tcW w:type="dxa" w:w="1640.0"/>
          </w:tcPr>
          <w:p>
            <w:pPr/>
            <w:r>
              <w:t>Wyślij powiadomienia użytkownikom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US071</w:t>
            </w:r>
          </w:p>
        </w:tc>
        <w:tc>
          <w:tcPr>
            <w:tcW w:type="dxa" w:w="3300.0"/>
          </w:tcPr>
          <w:p>
            <w:pPr/>
            <w:r>
              <w:t>Zrób przerwę techniczną</w:t>
            </w:r>
          </w:p>
        </w:tc>
        <w:tc>
          <w:tcPr>
            <w:tcW w:type="dxa" w:w="2920.0"/>
          </w:tcPr>
          <w:p>
            <w:pPr/>
            <w:r>
              <w:t xml:space="preserve">Administrator ma możliwość zrobienia przerwy technicznej</w:t>
            </w:r>
          </w:p>
        </w:tc>
        <w:tc>
          <w:tcPr>
            <w:tcW w:type="dxa" w:w="1640.0"/>
          </w:tcPr>
          <w:p>
            <w:pPr/>
            <w:r>
              <w:t>Zrób przerwę techniczną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Must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US072</w:t>
            </w:r>
          </w:p>
        </w:tc>
        <w:tc>
          <w:tcPr>
            <w:tcW w:type="dxa" w:w="3300.0"/>
          </w:tcPr>
          <w:p>
            <w:pPr/>
            <w:r>
              <w:t>Wybierz motyw ciemny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ciemny motyw</w:t>
            </w:r>
          </w:p>
        </w:tc>
        <w:tc>
          <w:tcPr>
            <w:tcW w:type="dxa" w:w="1640.0"/>
          </w:tcPr>
          <w:p>
            <w:pPr/>
            <w:r>
              <w:t>Wybierz motyw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</w:tbl>
    <w:sectPr>
      <w:pgSz w:h="11905" w:orient="landscape" w:w="16837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2023-05-25T13:36:17+02:00</dcterms:created>
  <dcterms:modified xsi:type="dcterms:W3CDTF">2023-05-25T13:36:17+02:00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