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152899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360"/>
        <w:gridCol w:w="3760"/>
        <w:gridCol w:w="1140"/>
        <w:gridCol w:w="1220"/>
        <w:gridCol w:w="1360"/>
      </w:tblGrid>
      <w:tr>
        <w:trPr>
          <w:tblHeader/>
        </w:trPr>
        <w:tc>
          <w:tcPr>
            <w:tcW w:type="dxa" w:w="23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2360.0"/>
          </w:tcPr>
          <w:p>
            <w:pPr/>
            <w:r>
              <w:t>Dodaj opcje nadaj paczkę</w:t>
            </w:r>
          </w:p>
        </w:tc>
        <w:tc>
          <w:tcPr>
            <w:tcW w:type="dxa" w:w="376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śledż paczkę</w:t>
            </w:r>
          </w:p>
        </w:tc>
        <w:tc>
          <w:tcPr>
            <w:tcW w:type="dxa" w:w="376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odbierz paczkę</w:t>
            </w:r>
          </w:p>
        </w:tc>
        <w:tc>
          <w:tcPr>
            <w:tcW w:type="dxa" w:w="3760.0"/>
          </w:tcPr>
          <w:p>
            <w:pPr/>
            <w:r>
              <w:t xml:space="preserve">Użytkownik otrzymuje powiadomienie na swój telefon z unikalnym kodem, za pomocą którego może odblokować szafkę i odebrać paczkę w dogodnym dla siebie momencie.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Projektowanie responsywane</w:t>
            </w:r>
          </w:p>
        </w:tc>
        <w:tc>
          <w:tcPr>
            <w:tcW w:type="dxa" w:w="3760.0"/>
          </w:tcPr>
          <w:p>
            <w:pPr/>
            <w:r>
              <w:t xml:space="preserve">UI/UX designer musi zapewnić, że aplikacja jest zaprojektowana tak, aby była responsywna i dostosowywała się do różnych rozmiarów ekranów i urządzeń, na przykład przy użyciu podejścia do projektowania mobilnego.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Badania użytkowników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badania użytkowników, aby zrozumieć potrzeby, preferencje i zachowania docelowych odbiorców oraz zidentyfikować problemy i obszary wymagające ulepszenia w projekcie i funkcjonalności aplikacji.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Testy użytecznośći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testy użyteczności w celu zidentyfikowania i rozwiązania wszelkich problemów z użytecznością lub obszarów wymagających ulepszenia w projekcie i funkcjonalności aplikacji na podstawie opinii i obserwacji użytkowników.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Smsy i maile z powiadomieniami</w:t>
            </w:r>
          </w:p>
        </w:tc>
        <w:tc>
          <w:tcPr>
            <w:tcW w:type="dxa" w:w="3760.0"/>
          </w:tcPr>
          <w:p>
            <w:pPr/>
            <w:r>
              <w:t xml:space="preserve">Użytkownik otrzymuje smsy i maile z powiadomieniami na temat swojej przesyłki.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Interfejs Użytkownika</w:t>
            </w:r>
          </w:p>
        </w:tc>
        <w:tc>
          <w:tcPr>
            <w:tcW w:type="dxa" w:w="3760.0"/>
          </w:tcPr>
          <w:p>
            <w:pPr/>
            <w:r>
              <w:t xml:space="preserve">Atrakcyjny i intuicyjny interfejs użytkownika, który ułatwia użytkownikom poruszanie się po aplikacji i wykonywanie wszystkich niezbędnych funkcji, w tym lokalizowanie szafek, rezerwowanie ich i pobieranie paczek.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Zwroty</w:t>
            </w:r>
          </w:p>
        </w:tc>
        <w:tc>
          <w:tcPr>
            <w:tcW w:type="dxa" w:w="3760.0"/>
          </w:tcPr>
          <w:p>
            <w:pPr/>
            <w:r>
              <w:t xml:space="preserve">Klient może skorzystać z aplikacji, aby zainicjować zwrot produktu zakupionego online. Mogą wybrać lokalizację paczkomatu, a aplikacja wygeneruje dla nich unikalny kod, którego będą używać podczas wrzucania paczki do paczkomatu. Po potwierdzeniu, że przedmiot znajduje się w szafce, proces zwrotu może być kontynuowany.</w:t>
            </w:r>
          </w:p>
        </w:tc>
        <w:tc>
          <w:tcPr>
            <w:tcW w:type="dxa" w:w="1140.0"/>
          </w:tcPr>
          <w:p>
            <w:pPr/>
            <w:r>
              <w:t>Could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2023-04-23T18:20:21+02:00</dcterms:created>
  <dcterms:modified xsi:type="dcterms:W3CDTF">2023-04-23T18:20:21+02:00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