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25273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60"/>
        <w:gridCol w:w="2820"/>
        <w:gridCol w:w="860"/>
        <w:gridCol w:w="920"/>
        <w:gridCol w:w="1020"/>
      </w:tblGrid>
      <w:tr>
        <w:trPr>
          <w:tblHeader/>
        </w:trPr>
        <w:tc>
          <w:tcPr>
            <w:tcW w:type="dxa" w:w="42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8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8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9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02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426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Nadaj paczkę</w:t>
            </w:r>
          </w:p>
        </w:tc>
        <w:tc>
          <w:tcPr>
            <w:tcW w:type="dxa" w:w="282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Napisz opinie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Odpowiedz na pytania użytkownika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Opłać przesyłkę</w:t>
            </w:r>
          </w:p>
        </w:tc>
        <w:tc>
          <w:tcPr>
            <w:tcW w:type="dxa" w:w="282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High</w:t>
            </w:r>
          </w:p>
        </w:tc>
      </w:tr>
      <w:tr>
        <w:tc>
          <w:tcPr>
            <w:tcW w:type="dxa" w:w="426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Skontaktuj się z pomocą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Śledź paczkę</w:t>
            </w:r>
          </w:p>
        </w:tc>
        <w:tc>
          <w:tcPr>
            <w:tcW w:type="dxa" w:w="282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860.0"/>
          </w:tcPr>
          <w:p>
            <w:pPr/>
            <w:r>
              <w:t>Must</w:t>
            </w:r>
          </w:p>
        </w:tc>
        <w:tc>
          <w:tcPr>
            <w:tcW w:type="dxa" w:w="920.0"/>
          </w:tcPr>
          <w:p>
            <w:pPr/>
            <w:r>
              <w:t>Large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Sprawdź obciążenie strony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Usuń komentarz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Wybierz rozmiar paczki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Wybierz typ powiadomień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Wyświetl cenę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Wyswietl komunikat na stronie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Włącz powiadomienia</w:t>
            </w:r>
          </w:p>
        </w:tc>
        <w:tc>
          <w:tcPr>
            <w:tcW w:type="dxa" w:w="282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860.0"/>
          </w:tcPr>
          <w:p>
            <w:pPr/>
            <w:r>
              <w:t>Should</w:t>
            </w:r>
          </w:p>
        </w:tc>
        <w:tc>
          <w:tcPr>
            <w:tcW w:type="dxa" w:w="920.0"/>
          </w:tcPr>
          <w:p>
            <w:pPr/>
            <w:r>
              <w:t>Medium</w:t>
            </w:r>
          </w:p>
        </w:tc>
        <w:tc>
          <w:tcPr>
            <w:tcW w:type="dxa" w:w="1020.0"/>
          </w:tcPr>
          <w:p>
            <w:pPr/>
            <w:r>
              <w:t>Medium</w:t>
            </w:r>
          </w:p>
        </w:tc>
      </w:tr>
      <w:tr>
        <w:tc>
          <w:tcPr>
            <w:tcW w:type="dxa" w:w="4260.0"/>
          </w:tcPr>
          <w:p>
            <w:pPr/>
            <w:r>
              <w:t>Zablokuj użytkownika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Zaprojktowanie najbardziej ekonomicznego rozwiazania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Zmień Motyw na Ciemny/Jasny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Zrób przerwę techniczną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  <w:tr>
        <w:tc>
          <w:tcPr>
            <w:tcW w:type="dxa" w:w="4260.0"/>
          </w:tcPr>
          <w:p>
            <w:pPr/>
            <w:r>
              <w:t>Zwróć Paczkę</w:t>
            </w:r>
          </w:p>
        </w:tc>
        <w:tc>
          <w:tcPr>
            <w:tcW w:type="dxa" w:w="2820.0"/>
          </w:tcPr>
          <w:p/>
        </w:tc>
        <w:tc>
          <w:tcPr>
            <w:tcW w:type="dxa" w:w="860.0"/>
          </w:tcPr>
          <w:p>
            <w:pPr/>
            <w:r>
              <w:t/>
            </w:r>
          </w:p>
        </w:tc>
        <w:tc>
          <w:tcPr>
            <w:tcW w:type="dxa" w:w="920.0"/>
          </w:tcPr>
          <w:p>
            <w:pPr/>
            <w:r>
              <w:t/>
            </w:r>
          </w:p>
        </w:tc>
        <w:tc>
          <w:tcPr>
            <w:tcW w:type="dxa" w:w="102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2023-05-08T11:15:41+02:00</dcterms:created>
  <dcterms:modified xsi:type="dcterms:W3CDTF">2023-05-08T11:15:41+02:00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