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/>
        <w:ind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6 ОХРАНА ТРУДА </w:t>
      </w:r>
      <w:r>
        <w:rPr>
          <w:rFonts w:eastAsia="Times New Roman"/>
          <w:b/>
          <w:bCs/>
        </w:rPr>
      </w:r>
    </w:p>
    <w:p>
      <w:pPr>
        <w:pBdr/>
        <w:tabs>
          <w:tab w:val="left" w:leader="none" w:pos="1453"/>
        </w:tabs>
        <w:spacing/>
        <w:ind/>
        <w:rPr/>
      </w:pPr>
      <w:r/>
      <w:r/>
    </w:p>
    <w:p>
      <w:pPr>
        <w:pBdr/>
        <w:spacing/>
        <w:ind/>
        <w:rPr/>
      </w:pPr>
      <w:r>
        <w:t xml:space="preserve">Согласно Закону об охране труда от 23 июня 2008 г. № 356 </w:t>
      </w:r>
      <w:r>
        <w:rPr>
          <w:i/>
        </w:rPr>
        <w:t xml:space="preserve">– </w:t>
      </w:r>
      <w:r>
        <w:t xml:space="preserve">З</w:t>
      </w:r>
      <w:r>
        <w:t xml:space="preserve"> (в ред. Закона Республики Беларусь </w:t>
      </w:r>
      <w:r>
        <w:t xml:space="preserve">от 17.07.2023 N 300-З) </w:t>
      </w:r>
      <w:r/>
      <w:r>
        <w:t xml:space="preserve">дается следующее определение понятию охраны труда:</w:t>
      </w:r>
      <w:r/>
    </w:p>
    <w:p>
      <w:pPr>
        <w:pBdr/>
        <w:spacing/>
        <w:ind/>
        <w:rPr>
          <w:rFonts w:eastAsiaTheme="minorEastAsia"/>
        </w:rPr>
      </w:pPr>
      <w:r>
        <w:t xml:space="preserve">О</w:t>
      </w:r>
      <w:r>
        <w:rPr>
          <w:rFonts w:eastAsiaTheme="minorEastAsia"/>
        </w:rPr>
        <w:t xml:space="preserve">храна труда – система обеспечения безопасности жизни и </w:t>
      </w:r>
      <w:r>
        <w:rPr>
          <w:rFonts w:eastAsiaTheme="minorEastAsia"/>
        </w:rPr>
        <w:t xml:space="preserve">здоровья</w:t>
      </w:r>
      <w:r>
        <w:rPr>
          <w:rFonts w:eastAsiaTheme="minorEastAsia"/>
        </w:rPr>
        <w:t xml:space="preserve">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санитарно-противоэпидемические, лечебно - профилактические, реабилитационные и иные мероприятия и средства. 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Тре</w:t>
      </w:r>
      <w:r>
        <w:rPr>
          <w:rFonts w:eastAsiaTheme="minorEastAsia"/>
        </w:rPr>
        <w:t xml:space="preserve">бования по охране труда – нормативные предписания, направленные на сохранение жизни, здоровья и работоспособности работников в процессе их трудовой деятельности, содержащиеся в нормативных правовых актах, в том числе технических нормативных правовых актах.</w:t>
      </w:r>
      <w:r>
        <w:rPr>
          <w:rFonts w:eastAsiaTheme="minorEastAsia"/>
        </w:rPr>
      </w:r>
    </w:p>
    <w:p>
      <w:pPr>
        <w:pStyle w:val="1705"/>
        <w:pBdr/>
        <w:spacing w:after="0"/>
        <w:ind/>
        <w:rPr>
          <w:rFonts w:eastAsiaTheme="minorEastAsia"/>
        </w:rPr>
      </w:pPr>
      <w:r>
        <w:rPr>
          <w:rFonts w:eastAsiaTheme="minorEastAsia"/>
          <w:lang w:eastAsia="ru-RU"/>
        </w:rPr>
        <w:t xml:space="preserve">Систему законодательных актов, регулирующих вопросы охраны труда в респ</w:t>
      </w:r>
      <w:r>
        <w:rPr>
          <w:rFonts w:eastAsiaTheme="minorEastAsia"/>
          <w:lang w:eastAsia="ru-RU"/>
        </w:rPr>
        <w:t xml:space="preserve">ублике, составляют Конституция Республики Беларусь, Концепция государственного управления охраной труда Республики Беларусь, Закон Республики Беларусь «Об охране труда», Трудовой кодекс Республики Беларусь, Законы Республики Беларусь «Об основах государств</w:t>
      </w:r>
      <w:r>
        <w:rPr>
          <w:rFonts w:eastAsiaTheme="minorEastAsia"/>
          <w:lang w:eastAsia="ru-RU"/>
        </w:rPr>
        <w:t xml:space="preserve">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безопасности», «О радиационной безопасности населения</w:t>
      </w:r>
      <w:r>
        <w:rPr>
          <w:rFonts w:eastAsiaTheme="minorEastAsia"/>
          <w:lang w:eastAsia="ru-RU"/>
        </w:rPr>
        <w:t xml:space="preserve">», «О защите населения и территорий от чрезвычайных ситуаций природного и техногенного характера», «О здр</w:t>
      </w:r>
      <w:r>
        <w:rPr>
          <w:rFonts w:eastAsiaTheme="minorEastAsia"/>
          <w:lang w:eastAsia="ru-RU"/>
        </w:rPr>
        <w:t xml:space="preserve">авоохранении», «О предприятиях»</w:t>
      </w:r>
      <w:r>
        <w:rPr>
          <w:rFonts w:eastAsiaTheme="minorEastAsia"/>
        </w:rPr>
      </w:r>
    </w:p>
    <w:p>
      <w:pPr>
        <w:pBdr/>
        <w:spacing/>
        <w:ind w:firstLine="0"/>
        <w:rPr>
          <w:rFonts w:eastAsiaTheme="minorEastAsia"/>
        </w:rPr>
      </w:pPr>
      <w:r>
        <w:rPr>
          <w:rFonts w:eastAsiaTheme="minorEastAsia"/>
        </w:rPr>
        <w:t xml:space="preserve">и др. НПА, ТНПА, ЛНПА.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Охрана труда имеет большое социальное, экономическое и правовое значение. Социальное значение охраны труда заключается в следующем:</w:t>
      </w:r>
      <w:r>
        <w:rPr>
          <w:rFonts w:eastAsiaTheme="minorEastAsia"/>
        </w:rPr>
      </w:r>
    </w:p>
    <w:p>
      <w:pPr>
        <w:pStyle w:val="1669"/>
        <w:numPr>
          <w:ilvl w:val="0"/>
          <w:numId w:val="5"/>
        </w:numPr>
        <w:pBdr/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охрана жизни и здоровья работника от возможных воздействий вредных условий производства;</w:t>
      </w:r>
      <w:r>
        <w:rPr>
          <w:rFonts w:eastAsiaTheme="minorEastAsia"/>
        </w:rPr>
      </w:r>
    </w:p>
    <w:p>
      <w:pPr>
        <w:pStyle w:val="1669"/>
        <w:numPr>
          <w:ilvl w:val="0"/>
          <w:numId w:val="5"/>
        </w:numPr>
        <w:pBdr/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сохранение работоспособности и трудового долголетия работника;</w:t>
      </w:r>
      <w:r>
        <w:rPr>
          <w:rFonts w:eastAsiaTheme="minorEastAsia"/>
        </w:rPr>
      </w:r>
    </w:p>
    <w:p>
      <w:pPr>
        <w:pStyle w:val="1669"/>
        <w:numPr>
          <w:ilvl w:val="0"/>
          <w:numId w:val="5"/>
        </w:numPr>
        <w:pBdr/>
        <w:spacing/>
        <w:ind w:firstLine="709" w:left="0"/>
        <w:rPr>
          <w:rFonts w:eastAsiaTheme="minorEastAsia"/>
        </w:rPr>
      </w:pPr>
      <w:r>
        <w:t xml:space="preserve">охрана труда способствует </w:t>
      </w:r>
      <w:r>
        <w:t xml:space="preserve">гуманизации</w:t>
      </w:r>
      <w:r>
        <w:t xml:space="preserve"> труда, содействует его культурно-техническому росту.</w:t>
      </w:r>
      <w:r>
        <w:rPr>
          <w:rFonts w:eastAsiaTheme="minorEastAsia"/>
        </w:rPr>
      </w:r>
    </w:p>
    <w:p>
      <w:pPr>
        <w:pBdr/>
        <w:tabs>
          <w:tab w:val="left" w:leader="none" w:pos="284"/>
        </w:tabs>
        <w:spacing/>
        <w:ind/>
        <w:rPr>
          <w:rFonts w:eastAsiaTheme="minorEastAsia"/>
        </w:rPr>
      </w:pPr>
      <w:r>
        <w:rPr>
          <w:rFonts w:eastAsiaTheme="minorEastAsia"/>
        </w:rPr>
        <w:t xml:space="preserve">Экономическое значение охраны труда заключается в следующем:</w:t>
      </w:r>
      <w:r>
        <w:rPr>
          <w:rFonts w:eastAsiaTheme="minorEastAsia"/>
        </w:rPr>
      </w:r>
    </w:p>
    <w:p>
      <w:pPr>
        <w:pStyle w:val="1669"/>
        <w:numPr>
          <w:ilvl w:val="0"/>
          <w:numId w:val="5"/>
        </w:numPr>
        <w:pBdr/>
        <w:spacing/>
        <w:ind w:firstLine="709" w:left="0"/>
        <w:rPr/>
      </w:pPr>
      <w:r>
        <w:t xml:space="preserve">способствует росту производительности труда работников, росту производства и экономики;</w:t>
      </w:r>
      <w:r/>
    </w:p>
    <w:p>
      <w:pPr>
        <w:pStyle w:val="1669"/>
        <w:numPr>
          <w:ilvl w:val="0"/>
          <w:numId w:val="5"/>
        </w:numPr>
        <w:pBdr/>
        <w:spacing/>
        <w:ind w:firstLine="709" w:left="0"/>
        <w:rPr/>
      </w:pPr>
      <w:r>
        <w:t xml:space="preserve">способствует экономии фонда социального страхования и сокращению потерь рабочего времени.</w:t>
      </w:r>
      <w:r/>
    </w:p>
    <w:p>
      <w:pPr>
        <w:pStyle w:val="1669"/>
        <w:pBdr/>
        <w:tabs>
          <w:tab w:val="clear" w:leader="none" w:pos="0"/>
          <w:tab w:val="clear" w:leader="none" w:pos="993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Тема дипломного проекта </w:t>
      </w:r>
      <w:r>
        <w:rPr>
          <w:rFonts w:eastAsia="Times New Roman"/>
        </w:rPr>
        <w:t xml:space="preserve">«Разработка информационной системы управления задачами команд»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</w:t>
      </w:r>
      <w:r>
        <w:rPr>
          <w:rFonts w:eastAsiaTheme="minorEastAsia"/>
        </w:rPr>
        <w:t xml:space="preserve">ассмотрим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рабочее место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инже</w:t>
      </w:r>
      <w:r>
        <w:rPr>
          <w:rFonts w:eastAsiaTheme="minorEastAsia"/>
        </w:rPr>
        <w:t xml:space="preserve">нера - программиста</w:t>
      </w:r>
      <w:r>
        <w:rPr>
          <w:rFonts w:eastAsiaTheme="minorEastAsia"/>
        </w:rPr>
        <w:t xml:space="preserve"> предприятия.</w:t>
      </w:r>
      <w:r>
        <w:rPr>
          <w:rFonts w:eastAsiaTheme="minorEastAsia"/>
        </w:rPr>
      </w:r>
    </w:p>
    <w:p>
      <w:pPr>
        <w:pStyle w:val="1669"/>
        <w:pBdr/>
        <w:shd w:val="clear" w:color="auto" w:fill="auto"/>
        <w:tabs>
          <w:tab w:val="clear" w:leader="none" w:pos="0"/>
          <w:tab w:val="clear" w:leader="none" w:pos="993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</w:r>
      <w:r>
        <w:t xml:space="preserve">Таблица 6</w:t>
      </w:r>
      <w:r>
        <w:t xml:space="preserve">.1 – </w:t>
      </w:r>
      <w:r>
        <w:rPr>
          <w:rFonts w:eastAsiaTheme="minorEastAsia"/>
        </w:rPr>
        <w:t xml:space="preserve">Общие сведения о рабочем месте</w:t>
      </w:r>
      <w:r>
        <w:rPr>
          <w:rFonts w:eastAsiaTheme="minorEastAsia"/>
        </w:rPr>
      </w:r>
      <w:r/>
    </w:p>
    <w:tbl>
      <w:tblPr>
        <w:tblStyle w:val="1707"/>
        <w:tblW w:w="0" w:type="auto"/>
        <w:tblInd w:w="-34" w:type="dxa"/>
        <w:tblBorders/>
        <w:tblLook w:val="04A0" w:firstRow="1" w:lastRow="0" w:firstColumn="1" w:lastColumn="0" w:noHBand="0" w:noVBand="1"/>
      </w:tblPr>
      <w:tblGrid>
        <w:gridCol w:w="4395"/>
        <w:gridCol w:w="5209"/>
      </w:tblGrid>
      <w:tr>
        <w:trPr/>
        <w:tc>
          <w:tcPr>
            <w:tcBorders/>
            <w:tcW w:w="439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Организация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IT-компания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Цех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Участок (бюро, сектор)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Код и наименование </w:t>
            </w:r>
            <w:r>
              <w:rPr>
                <w:rFonts w:eastAsiaTheme="minorEastAsia"/>
                <w:sz w:val="24"/>
                <w:szCs w:val="24"/>
              </w:rPr>
              <w:t xml:space="preserve">профессии (дол</w:t>
            </w:r>
            <w:r>
              <w:rPr>
                <w:rFonts w:eastAsiaTheme="minorEastAsia"/>
                <w:sz w:val="24"/>
                <w:szCs w:val="24"/>
              </w:rPr>
              <w:t xml:space="preserve">ж</w:t>
            </w:r>
            <w:r>
              <w:rPr>
                <w:rFonts w:eastAsiaTheme="minorEastAsia"/>
                <w:sz w:val="24"/>
                <w:szCs w:val="24"/>
              </w:rPr>
              <w:t xml:space="preserve">ности) по ОКРБ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2512-001</w:t>
            </w:r>
            <w:r>
              <w:rPr>
                <w:rFonts w:eastAsiaTheme="minorEastAsia"/>
                <w:sz w:val="24"/>
                <w:szCs w:val="24"/>
              </w:rPr>
              <w:t xml:space="preserve"> Инженер-программист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Число рабочих смен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 смена, 8 часов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Характеристика выполняемой работы по ЕТКС, ЕКСД рабочей (должностной) инструкции. Наименование технолог</w:t>
            </w:r>
            <w:r>
              <w:rPr>
                <w:rFonts w:eastAsiaTheme="minorEastAsia"/>
                <w:sz w:val="24"/>
                <w:szCs w:val="24"/>
              </w:rPr>
              <w:t xml:space="preserve">и</w:t>
            </w:r>
            <w:r>
              <w:rPr>
                <w:rFonts w:eastAsiaTheme="minorEastAsia"/>
                <w:sz w:val="24"/>
                <w:szCs w:val="24"/>
              </w:rPr>
              <w:t xml:space="preserve">ческого процесса (вида работ).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52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both"/>
              <w:rPr/>
            </w:pPr>
            <w:r>
              <w:rPr>
                <w:rFonts w:eastAsiaTheme="minorEastAsia"/>
                <w:sz w:val="24"/>
                <w:szCs w:val="24"/>
              </w:rPr>
              <w:t xml:space="preserve">Участвует в выборе языка программирования для описания алгоритмов и структур данных. Разрабатывает, отлаживает, анализирует и оптимизирует программный код на основе готовых спецификаций. </w:t>
            </w:r>
            <w:r>
              <w:rPr>
                <w:rFonts w:eastAsiaTheme="minorEastAsia"/>
                <w:sz w:val="24"/>
                <w:szCs w:val="24"/>
              </w:rPr>
              <w:t xml:space="preserve">Выполняет работу по ее подготовке к отладке. Проводит отладку разработанных программ, корректирует их в процессе стабилиза</w:t>
            </w:r>
            <w:r>
              <w:rPr>
                <w:rFonts w:eastAsiaTheme="minorEastAsia"/>
                <w:sz w:val="24"/>
                <w:szCs w:val="24"/>
              </w:rPr>
              <w:t xml:space="preserve">ции и </w:t>
            </w:r>
            <w:r/>
            <w:r>
              <w:rPr>
                <w:rFonts w:eastAsiaTheme="minorEastAsia"/>
                <w:sz w:val="24"/>
                <w:szCs w:val="24"/>
              </w:rPr>
              <w:t xml:space="preserve">сопровождения. Принимает участие в создании библиотек стандартных программ, в разработке форм документов, подлежащих электронной обработке, в проектировании программ, позволяющих расширить область применения вычислительной техники. Выполняет работу по униф</w:t>
            </w:r>
            <w:r>
              <w:rPr>
                <w:rFonts w:eastAsiaTheme="minorEastAsia"/>
                <w:sz w:val="24"/>
                <w:szCs w:val="24"/>
              </w:rPr>
              <w:t xml:space="preserve">икации процессов разработки программ. Разрабатывает и внедряет методы автоматизации программирования.</w:t>
            </w:r>
            <w:r/>
            <w:r>
              <w:rPr>
                <w:rFonts w:eastAsiaTheme="minorEastAsia"/>
                <w:sz w:val="24"/>
                <w:szCs w:val="24"/>
              </w:rPr>
            </w:r>
            <w:r>
              <w:rPr>
                <w:rFonts w:eastAsiaTheme="minorEastAsia"/>
                <w:sz w:val="24"/>
                <w:szCs w:val="24"/>
              </w:rPr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0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709"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Продолжение таблицы 6.1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0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none" w:color="000000" w:sz="4" w:space="0"/>
            </w:tcBorders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Обслуживаемое оборудование: наим</w:t>
            </w:r>
            <w:r>
              <w:rPr>
                <w:rFonts w:eastAsiaTheme="minorEastAsia"/>
                <w:sz w:val="24"/>
                <w:szCs w:val="24"/>
              </w:rPr>
              <w:t xml:space="preserve">е</w:t>
            </w:r>
            <w:r>
              <w:rPr>
                <w:rFonts w:eastAsiaTheme="minorEastAsia"/>
                <w:sz w:val="24"/>
                <w:szCs w:val="24"/>
              </w:rPr>
              <w:t xml:space="preserve">нование, количество единиц (указать)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Применяемые инструменты и присп</w:t>
            </w:r>
            <w:r>
              <w:rPr>
                <w:rFonts w:eastAsiaTheme="minorEastAsia"/>
                <w:sz w:val="24"/>
                <w:szCs w:val="24"/>
              </w:rPr>
              <w:t xml:space="preserve">о</w:t>
            </w:r>
            <w:r>
              <w:rPr>
                <w:rFonts w:eastAsiaTheme="minorEastAsia"/>
                <w:sz w:val="24"/>
                <w:szCs w:val="24"/>
              </w:rPr>
              <w:t xml:space="preserve">собления (технологическая оснастка)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Ноутбук ASUS TUF FX506FX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395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Используемые сырье, материалы (ук</w:t>
            </w:r>
            <w:r>
              <w:rPr>
                <w:rFonts w:eastAsiaTheme="minorEastAsia"/>
                <w:sz w:val="24"/>
                <w:szCs w:val="24"/>
              </w:rPr>
              <w:t xml:space="preserve">а</w:t>
            </w:r>
            <w:r>
              <w:rPr>
                <w:rFonts w:eastAsiaTheme="minorEastAsia"/>
                <w:sz w:val="24"/>
                <w:szCs w:val="24"/>
              </w:rPr>
              <w:t xml:space="preserve">зать)</w:t>
            </w:r>
            <w:r>
              <w:rPr>
                <w:rFonts w:eastAsiaTheme="minorEastAsia"/>
                <w:sz w:val="24"/>
                <w:szCs w:val="24"/>
              </w:rPr>
            </w:r>
          </w:p>
        </w:tc>
        <w:tc>
          <w:tcPr>
            <w:tcBorders/>
            <w:tcW w:w="5209" w:type="dxa"/>
            <w:textDirection w:val="lrTb"/>
            <w:noWrap w:val="false"/>
          </w:tcPr>
          <w:p>
            <w:pPr>
              <w:pStyle w:val="1669"/>
              <w:widowControl w:val="false"/>
              <w:numPr>
                <w:ilvl w:val="0"/>
                <w:numId w:val="7"/>
              </w:numPr>
              <w:pBdr/>
              <w:spacing w:line="24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-</w:t>
            </w:r>
            <w:r>
              <w:rPr>
                <w:rFonts w:eastAsiaTheme="minorEastAsia"/>
                <w:sz w:val="24"/>
                <w:szCs w:val="24"/>
              </w:rPr>
            </w:r>
          </w:p>
        </w:tc>
      </w:tr>
    </w:tbl>
    <w:p>
      <w:pPr>
        <w:pStyle w:val="1669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669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 Проведем оценку факторов производственной среды, тяжести и напряжённости трудового процесса (таблицы 6.</w:t>
      </w:r>
      <w:r>
        <w:rPr>
          <w:rFonts w:eastAsiaTheme="minorEastAsia"/>
        </w:rPr>
        <w:t xml:space="preserve">2</w:t>
      </w:r>
      <w:r>
        <w:rPr>
          <w:rFonts w:eastAsiaTheme="minorEastAsia"/>
        </w:rPr>
        <w:t xml:space="preserve">-6.</w:t>
      </w:r>
      <w:r>
        <w:rPr>
          <w:rFonts w:eastAsiaTheme="minorEastAsia"/>
        </w:rPr>
        <w:t xml:space="preserve">4</w:t>
      </w:r>
      <w:r>
        <w:rPr>
          <w:rFonts w:eastAsiaTheme="minorEastAsia"/>
        </w:rPr>
        <w:t xml:space="preserve">).</w:t>
      </w:r>
      <w:r>
        <w:rPr>
          <w:rFonts w:eastAsiaTheme="minorEastAsia"/>
        </w:rPr>
      </w:r>
    </w:p>
    <w:p>
      <w:pPr>
        <w:pStyle w:val="1669"/>
        <w:pBdr/>
        <w:tabs>
          <w:tab w:val="clear" w:leader="none" w:pos="0"/>
        </w:tabs>
        <w:spacing/>
        <w:ind w:firstLine="0" w:left="709"/>
        <w:rPr>
          <w:rFonts w:eastAsiaTheme="minorEastAsia"/>
        </w:rPr>
      </w:pPr>
      <w:r>
        <w:t xml:space="preserve">Таблица 6.</w:t>
      </w:r>
      <w:r>
        <w:t xml:space="preserve">2</w:t>
      </w:r>
      <w:r>
        <w:t xml:space="preserve"> – Оценка факторов производственной среды</w:t>
      </w:r>
      <w:r>
        <w:rPr>
          <w:rFonts w:eastAsiaTheme="minorEastAsia"/>
        </w:rPr>
      </w:r>
    </w:p>
    <w:tbl>
      <w:tblPr>
        <w:tblW w:w="4950" w:type="pct"/>
        <w:tblInd w:w="109" w:type="dxa"/>
        <w:tblBorders/>
        <w:tblLayout w:type="fixed"/>
        <w:tblLook w:val="01E0" w:firstRow="1" w:lastRow="1" w:firstColumn="1" w:lastColumn="1" w:noHBand="0" w:noVBand="0"/>
      </w:tblPr>
      <w:tblGrid>
        <w:gridCol w:w="5923"/>
        <w:gridCol w:w="1868"/>
        <w:gridCol w:w="1683"/>
      </w:tblGrid>
      <w:tr>
        <w:trPr>
          <w:trHeight w:val="3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Электромагнитные поля и неионизирующие излучения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>
          <w:trHeight w:val="11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Напряженность электрического поля, В/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м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>
          <w:trHeight w:val="12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– от 5 Гц до 2 кГц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25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21</w:t>
            </w:r>
            <w:r>
              <w:rPr>
                <w:color w:val="000000" w:themeColor="text1"/>
              </w:rPr>
            </w:r>
          </w:p>
        </w:tc>
      </w:tr>
      <w:tr>
        <w:trPr>
          <w:trHeight w:val="12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– от 2 кГц до 400 кГц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2,5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0,6</w:t>
            </w:r>
            <w:r>
              <w:rPr>
                <w:color w:val="000000" w:themeColor="text1"/>
              </w:rPr>
            </w:r>
          </w:p>
        </w:tc>
      </w:tr>
      <w:tr>
        <w:trPr>
          <w:trHeight w:val="11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Плотность магнитного потока,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нТл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>
          <w:trHeight w:val="291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– от 5 Гц до 2 кГц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250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210</w:t>
            </w:r>
            <w:r>
              <w:rPr>
                <w:color w:val="000000" w:themeColor="text1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– от 2 кГц до 400 кГц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25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6</w:t>
            </w:r>
            <w:r>
              <w:rPr>
                <w:color w:val="000000" w:themeColor="text1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Электростатические поля, кВт/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м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15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5,6</w:t>
            </w:r>
            <w:r>
              <w:rPr>
                <w:color w:val="000000" w:themeColor="text1"/>
              </w:rPr>
            </w:r>
          </w:p>
        </w:tc>
      </w:tr>
      <w:tr>
        <w:trPr>
          <w:trHeight w:val="1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Микроклимат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Температура воздуха, </w:t>
            </w:r>
            <w:r>
              <w:rPr>
                <w:rFonts w:eastAsia="Times New Roman"/>
                <w:color w:val="000000" w:themeColor="text1"/>
                <w:sz w:val="24"/>
                <w:vertAlign w:val="superscript"/>
              </w:rPr>
              <w:t xml:space="preserve">о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С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1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-28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2</w:t>
            </w:r>
            <w:r>
              <w:rPr>
                <w:color w:val="000000" w:themeColor="text1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Относительная влажность, %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15-75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50</w:t>
            </w:r>
            <w:r>
              <w:rPr>
                <w:color w:val="000000" w:themeColor="text1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Скорость движения воздуха, м/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с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0,1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-0,2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0,1</w:t>
            </w:r>
            <w:r>
              <w:rPr>
                <w:color w:val="000000" w:themeColor="text1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Освещенность,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лк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300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 w:after="57" w:before="57"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320</w:t>
            </w:r>
            <w:r>
              <w:rPr>
                <w:color w:val="000000" w:themeColor="text1"/>
              </w:rPr>
            </w:r>
          </w:p>
        </w:tc>
      </w:tr>
    </w:tbl>
    <w:p>
      <w:pPr>
        <w:pStyle w:val="1669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669"/>
        <w:pBdr/>
        <w:tabs>
          <w:tab w:val="clear" w:leader="none" w:pos="0"/>
        </w:tabs>
        <w:spacing/>
        <w:ind w:firstLine="0" w:left="709"/>
        <w:rPr/>
      </w:pPr>
      <w:r>
        <w:t xml:space="preserve">Таблица 6.</w:t>
      </w:r>
      <w:r>
        <w:t xml:space="preserve">3</w:t>
      </w:r>
      <w:r>
        <w:t xml:space="preserve"> – Оценка тяжести трудового процесса</w:t>
      </w:r>
      <w:r/>
    </w:p>
    <w:tbl>
      <w:tblPr>
        <w:tblStyle w:val="1707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Показатели тяжести трудового процесса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Фактическое значение показателя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 Физическая динамическая нагрузка, </w:t>
            </w:r>
            <w:r>
              <w:rPr>
                <w:rFonts w:eastAsia="Times New Roman"/>
                <w:sz w:val="24"/>
                <w:szCs w:val="24"/>
              </w:rPr>
              <w:t xml:space="preserve">кгм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3.1.1 Региональная нагрузка при перемещении груза на расстояние до 1 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2 500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3.1.2 Общая нагрузка при перемещении груза на расстояние:</w:t>
            </w:r>
            <w:r>
              <w:rPr>
                <w:rFonts w:eastAsia="Times New Roman"/>
                <w:sz w:val="24"/>
                <w:szCs w:val="24"/>
              </w:rPr>
              <w:br/>
              <w:t xml:space="preserve">- от 1 до 5 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12 500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более 5 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 Масса поднимаемого и перемещаемого груза вручную, </w:t>
            </w:r>
            <w:r>
              <w:rPr>
                <w:rFonts w:eastAsia="Times New Roman"/>
                <w:sz w:val="24"/>
                <w:szCs w:val="24"/>
              </w:rPr>
              <w:t xml:space="preserve">кг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6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709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Продолжение таблицы 6.3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3.2.1 Подъем и перемещение тяжести при чередовании с другой работой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3-12,5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3.2.2 Подъем и перемещение тяжестей постоянно в течение рабочей смены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3.2.3 Суммарная масса грузов, перемещаемых в течение каждого часа смены: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с рабочей поверхности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350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с пола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 Стереотипные рабочие движения, количество за смену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3.3.1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ри локальной нагрузке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3.3.2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ри региональной нагрузке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 Статическая нагрузка,  кг (силы) · </w:t>
            </w:r>
            <w:r>
              <w:rPr>
                <w:rFonts w:eastAsia="Times New Roman"/>
                <w:sz w:val="24"/>
                <w:szCs w:val="24"/>
              </w:rPr>
              <w:t xml:space="preserve">с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3.4.1</w:t>
            </w:r>
            <w:r>
              <w:rPr>
                <w:rFonts w:eastAsia="Times New Roman"/>
                <w:sz w:val="24"/>
                <w:szCs w:val="24"/>
              </w:rPr>
              <w:t xml:space="preserve"> О</w:t>
            </w:r>
            <w:r>
              <w:rPr>
                <w:rFonts w:eastAsia="Times New Roman"/>
                <w:sz w:val="24"/>
                <w:szCs w:val="24"/>
              </w:rPr>
              <w:t xml:space="preserve">дной рукой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36 000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3.4.2</w:t>
            </w:r>
            <w:r>
              <w:rPr>
                <w:rFonts w:eastAsia="Times New Roman"/>
                <w:sz w:val="24"/>
                <w:szCs w:val="24"/>
              </w:rPr>
              <w:t xml:space="preserve"> Д</w:t>
            </w:r>
            <w:r>
              <w:rPr>
                <w:rFonts w:eastAsia="Times New Roman"/>
                <w:sz w:val="24"/>
                <w:szCs w:val="24"/>
              </w:rPr>
              <w:t xml:space="preserve">вумя руками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20 000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3.4.3</w:t>
            </w:r>
            <w:r>
              <w:rPr>
                <w:rFonts w:eastAsia="Times New Roman"/>
                <w:sz w:val="24"/>
                <w:szCs w:val="24"/>
              </w:rPr>
              <w:t xml:space="preserve"> С</w:t>
            </w:r>
            <w:r>
              <w:rPr>
                <w:rFonts w:eastAsia="Times New Roman"/>
                <w:sz w:val="24"/>
                <w:szCs w:val="24"/>
              </w:rPr>
              <w:t xml:space="preserve"> участием мышц корпуса, ног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3.5 Рабочая поза 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Свободная, удобная поза, возможность смены рабочего положения тела (сидя, стоя). Нахождение в позе стоя до 40 % времени смены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3.6 Наклоны корпуса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 Перемещения в пространстве, обусловленные технологическим процессом, </w:t>
            </w:r>
            <w:r>
              <w:rPr>
                <w:rFonts w:eastAsia="Times New Roman"/>
                <w:sz w:val="24"/>
                <w:szCs w:val="24"/>
              </w:rPr>
              <w:t xml:space="preserve">км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3.7.1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о горизонтали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3.7.2</w:t>
            </w:r>
            <w:r>
              <w:rPr>
                <w:rFonts w:eastAsia="Times New Roman"/>
                <w:sz w:val="24"/>
                <w:szCs w:val="24"/>
              </w:rPr>
              <w:t xml:space="preserve"> П</w:t>
            </w:r>
            <w:r>
              <w:rPr>
                <w:rFonts w:eastAsia="Times New Roman"/>
                <w:sz w:val="24"/>
                <w:szCs w:val="24"/>
              </w:rPr>
              <w:t xml:space="preserve">о вертикали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14:ligatures w14:val="none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 w:firstLine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</w:p>
    <w:p>
      <w:pPr>
        <w:widowControl w:val="false"/>
        <w:pBdr/>
        <w:spacing/>
        <w:ind/>
        <w:rPr>
          <w:rFonts w:eastAsia="Times New Roman"/>
          <w:highlight w:val="none"/>
        </w:rPr>
      </w:pPr>
      <w:r>
        <w:rPr>
          <w:rFonts w:eastAsia="Times New Roman"/>
        </w:rPr>
        <w:t xml:space="preserve">Таблица 6.</w:t>
      </w:r>
      <w:r>
        <w:rPr>
          <w:rFonts w:eastAsia="Times New Roman"/>
        </w:rPr>
        <w:t xml:space="preserve">4</w:t>
      </w:r>
      <w:r>
        <w:rPr>
          <w:rFonts w:eastAsia="Times New Roman"/>
        </w:rPr>
        <w:t xml:space="preserve"> – Оценка напряженности трудового процесса</w:t>
      </w:r>
      <w:r>
        <w:rPr>
          <w:rFonts w:eastAsia="Times New Roman"/>
          <w:highlight w:val="none"/>
        </w:rPr>
      </w:r>
    </w:p>
    <w:tbl>
      <w:tblPr>
        <w:tblW w:w="4950" w:type="pct"/>
        <w:tblInd w:w="-62" w:type="dxa"/>
        <w:tblBorders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067"/>
        <w:gridCol w:w="428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6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Показатели напряженности трудового процесса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83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Характеристика показателей в соответствии с гигиеническими критериями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6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1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83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4.1 Интеллектуальные нагрузки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4.1.1 Содержание работы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Решение задач по инструкции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4.1.2 Восприятие сигналов (информации) и их оценка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Восприятие сигналов, но не требуется коррекция действий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067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4.1.3 Распределение функций по степени сложности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задания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4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Обработка и выполнение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задания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4.1.4 Характер выполняемой работы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Работа по установленному регламенту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3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 Сенсорные нагрузки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4.2.1 Длительность сосредоточенного наблюдения (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в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 %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от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 времени смены)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До 25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4.2.2 Плотность сигналов (световых, звуковых) и сообщений в среднем за 1 час работы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60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4.2.3 Число производственных объектов одновременного наблюдения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4.2.4 Размер объекта различения (при расстоянии от глаз работающего до объекта различе-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ff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0,5-0,7 мм – 80%</w:t>
            </w: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ff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более 0,7 – 20%</w:t>
            </w: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0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709" w:left="0"/>
              <w:jc w:val="left"/>
              <w:rPr>
                <w:rFonts w:eastAsia="Times New Roman"/>
                <w:color w:val="000000" w:themeColor="text1"/>
                <w:sz w:val="28"/>
                <w:szCs w:val="32"/>
              </w:rPr>
            </w:pPr>
            <w:r>
              <w:rPr>
                <w:rFonts w:eastAsia="Times New Roman"/>
                <w:color w:val="000000" w:themeColor="text1"/>
                <w:sz w:val="28"/>
                <w:szCs w:val="32"/>
              </w:rPr>
              <w:t xml:space="preserve">Продолжение таблицы 6.4</w:t>
            </w:r>
            <w:r>
              <w:rPr>
                <w:rFonts w:eastAsia="Times New Roman"/>
                <w:color w:val="000000" w:themeColor="text1"/>
                <w:sz w:val="28"/>
                <w:szCs w:val="32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1</w:t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</w:t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-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ния не более 0,5 м) в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мм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 при длительности сосредоточенного наблюдения (% времени смены)</w:t>
            </w:r>
            <w:r/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4.2.5 Работа с оптическими приборами (микроскопы, лупы и т.п.) при длительности сосредоточенного наблюдения (% времени смены)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4.2.6 Наблюдение за экранами видеотерминалов (часов в смену):</w:t>
            </w:r>
            <w:r>
              <w:rPr>
                <w:rFonts w:eastAsia="Times New Roman"/>
                <w:color w:val="000000" w:themeColor="text1"/>
                <w:sz w:val="24"/>
              </w:rPr>
              <w:br/>
              <w:t xml:space="preserve">- при буквенно-цифровом типе отображения информации;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До 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- при графическом типе отображения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До 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4.2.7 Нагрузка на слуховой анализатор (при производственной необходимости восприятия речи или дифференцированных сигналов)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Разборчивость слов и сигналов от 90% до 80%. Помехи присутствуют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4.2.8 Нагрузка на голосовой аппарат (суммарное кол-во часов, наговариваемое в неделю)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4.3 Эмоциональные нагрузки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4.3.1 Степень ответственности за результат собственной деятельности. Значимость ошибок.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Ответственность за качество работы, влечёт дополнительные усилия со стороны руководства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4.3.2 Степень риска для собственной жизни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Исключена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4.3.3 Степень ответственности за безопасность других лиц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Исключена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4.4 Монотонность нагрузок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4.4.1 Число элементов (приемов), необходимых для реализации простого задания или в многократно повторяющихся операциях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Более 10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4.4.2 Продолжительность выполнения простых производственных заданий или повторяющихся операций,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с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25-100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4.4.3. монотонность производственной обстановки (время пассивного наблюдения за ходом техпроцесса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в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 %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от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 времени смены)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76-80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4.5 Режим работы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  <w:r>
              <w:rPr>
                <w:rFonts w:eastAsia="Times New Roman"/>
                <w:color w:val="000000" w:themeColor="text1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67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4.5.1 Сменность работы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83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0" w:left="0"/>
              <w:jc w:val="center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Односменная работа (без ночной смены)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Из таблиц 6.</w:t>
      </w:r>
      <w:r>
        <w:rPr>
          <w:rFonts w:eastAsia="Times New Roman"/>
        </w:rPr>
        <w:t xml:space="preserve">3</w:t>
      </w:r>
      <w:r>
        <w:rPr>
          <w:rFonts w:eastAsia="Times New Roman"/>
        </w:rPr>
        <w:t xml:space="preserve"> – 6.</w:t>
      </w:r>
      <w:r>
        <w:rPr>
          <w:rFonts w:eastAsia="Times New Roman"/>
        </w:rPr>
        <w:t xml:space="preserve">4</w:t>
      </w:r>
      <w:r>
        <w:rPr>
          <w:rFonts w:eastAsia="Times New Roman"/>
        </w:rPr>
        <w:t xml:space="preserve"> следует, что инженер предприятия подвержен всем видам нагрузок: эмоциональной, сенсорной и интеллектуальной.  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На основании представленных данных разработаем карту рисков рабочего места инженера</w:t>
      </w:r>
      <w:r>
        <w:rPr>
          <w:rFonts w:eastAsia="Times New Roman"/>
        </w:rPr>
        <w:t xml:space="preserve">-програм</w:t>
      </w:r>
      <w:r>
        <w:rPr>
          <w:rFonts w:eastAsia="Times New Roman"/>
        </w:rPr>
        <w:t xml:space="preserve">м</w:t>
      </w:r>
      <w:bookmarkStart w:id="0" w:name="_GoBack"/>
      <w:r/>
      <w:bookmarkEnd w:id="0"/>
      <w:r>
        <w:rPr>
          <w:rFonts w:eastAsia="Times New Roman"/>
        </w:rPr>
        <w:t xml:space="preserve">иста</w:t>
      </w:r>
      <w:r>
        <w:rPr>
          <w:rFonts w:eastAsia="Times New Roman"/>
        </w:rPr>
        <w:t xml:space="preserve">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Все риски, связанные с каждой идентифицированной опасностью, анализируются, оцениваются и классифицируются по уровням рисков для устранения, снижения уровня или управления риском существующими методами. 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Для определения величины рисков используется формула: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R = P х S,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где R – риск, балл;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P – вероятность возникновения опасности, балл;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S – серьезность последствий воздействия опасности, балл.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Вероятность воздействия опасности P определяется по таблице </w:t>
      </w:r>
      <w:r>
        <w:rPr>
          <w:rFonts w:eastAsia="Times New Roman"/>
        </w:rPr>
        <w:t xml:space="preserve">6.5</w:t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</w:p>
    <w:p>
      <w:pPr>
        <w:widowControl w:val="false"/>
        <w:pBdr/>
        <w:spacing/>
        <w:ind/>
        <w:rPr>
          <w:rFonts w:eastAsia="Times New Roman"/>
          <w:highlight w:val="none"/>
        </w:rPr>
      </w:pPr>
      <w:r>
        <w:rPr>
          <w:rFonts w:eastAsia="Times New Roman"/>
        </w:rPr>
        <w:t xml:space="preserve">Таблица 6.5 – </w:t>
      </w:r>
      <w:r>
        <w:rPr>
          <w:rFonts w:eastAsia="Times New Roman"/>
        </w:rPr>
        <w:t xml:space="preserve">Оценка вероятности возникновения опасности P</w:t>
      </w:r>
      <w:r>
        <w:rPr>
          <w:rFonts w:eastAsia="Times New Roman"/>
          <w:highlight w:val="none"/>
        </w:rPr>
      </w:r>
    </w:p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984"/>
        <w:gridCol w:w="5954"/>
      </w:tblGrid>
      <w:tr>
        <w:trPr>
          <w:trHeight w:val="606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P, балл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948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Минимальная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незначительной. Практически невозможно предположить, что подобный фактор может возникнуть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85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остается низкой. Подобного рода условия возникают в отдельных случаях, но шансы для этого невелики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находится на среднем уровне. Условия для этого могут реально и неожиданно возникнуть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Значительная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высокой. Условия для этого возникают достаточно регулярно и (или) в течение определенного интервала времени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Очень высокая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5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очень высокой. Условия обязательно возникают на протяжении достаточно продолжительного промежутка времени (обычно в условиях нормальной эксплуатации)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Серьезность последствий воздействия опасности S определяется по таблице </w:t>
      </w:r>
      <w:r>
        <w:rPr>
          <w:rFonts w:eastAsia="Times New Roman"/>
        </w:rPr>
        <w:t xml:space="preserve">6.6</w:t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  <w:t xml:space="preserve">Таблица 6.6 – </w:t>
      </w:r>
      <w:r>
        <w:rPr>
          <w:rFonts w:eastAsia="Times New Roman"/>
        </w:rPr>
        <w:t xml:space="preserve">Оценка серьезности последствий воздействия опасности S</w:t>
      </w:r>
      <w:r>
        <w:rPr>
          <w:rFonts w:eastAsia="Times New Roman"/>
        </w:rPr>
      </w:r>
    </w:p>
    <w:tbl>
      <w:tblPr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2126"/>
        <w:gridCol w:w="3259"/>
        <w:gridCol w:w="3187"/>
      </w:tblGrid>
      <w:tr>
        <w:trPr>
          <w:jc w:val="center"/>
          <w:trHeight w:val="29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S, балл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Последствия воздействия опасности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44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60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работник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материал, ценности, производственная среда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7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Минимальные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Незначительное воздействие, первая медицинская помощь, микротравмы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Незначительное воздействие на оборудование или ход работы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77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right="0" w:firstLine="709" w:left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Продолжение таблицы 6.6</w:t>
            </w: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59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7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Угроза жизни отсутствует, оформление акта формы Н-1, потеря трудоспособности </w:t>
            </w:r>
            <w:r>
              <w:rPr>
                <w:rFonts w:eastAsia="Times New Roman"/>
                <w:sz w:val="24"/>
                <w:szCs w:val="24"/>
              </w:rPr>
              <w:t xml:space="preserve">сроком более 1 дня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Для устранения повреждений необходима дополнительная помощь или приостановка </w:t>
            </w:r>
            <w:r>
              <w:rPr>
                <w:rFonts w:eastAsia="Times New Roman"/>
                <w:sz w:val="24"/>
                <w:szCs w:val="24"/>
              </w:rPr>
              <w:t xml:space="preserve">работы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918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Присутствует потенциальный риск для здоровья, тяжелая травма, профессиональное заболевание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Необходимы значительные материальные вложения для устранения последствий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Значительные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Групповые несчастные случаи с тяжелыми последствиями; несчастный случай со смертельным исходом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Существенное воздействие на оборудование и ход работ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Катастрофические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Несколько несчастных случаев со смертельным исходом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8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Значимый ущерб для оборудования и окружающей среды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Полученная по формуле величина риска R сравнивается со шкалой допустимости </w:t>
      </w:r>
      <w:r>
        <w:rPr>
          <w:rFonts w:eastAsia="Times New Roman"/>
        </w:rPr>
        <w:t xml:space="preserve">(таблица 6.7</w:t>
      </w:r>
      <w:r>
        <w:rPr>
          <w:rFonts w:eastAsia="Times New Roman"/>
        </w:rPr>
        <w:t xml:space="preserve">).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</w:t>
      </w:r>
      <w:r>
        <w:rPr>
          <w:rFonts w:eastAsia="Times New Roman"/>
        </w:rPr>
        <w:t xml:space="preserve">.</w:t>
      </w:r>
      <w:r>
        <w:rPr>
          <w:rFonts w:eastAsia="Times New Roman"/>
        </w:rPr>
        <w:t xml:space="preserve">7 – </w:t>
      </w:r>
      <w:r>
        <w:rPr>
          <w:rFonts w:eastAsia="Times New Roman"/>
        </w:rPr>
        <w:t xml:space="preserve">Шкала допустимости риска</w:t>
      </w:r>
      <w:r>
        <w:rPr>
          <w:rFonts w:eastAsia="Times New Roman"/>
        </w:rPr>
      </w:r>
    </w:p>
    <w:tbl>
      <w:tblPr>
        <w:tblW w:w="95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835"/>
        <w:gridCol w:w="4615"/>
      </w:tblGrid>
      <w:tr>
        <w:trPr/>
        <w:tc>
          <w:tcPr>
            <w:gridSpan w:val="2"/>
            <w:shd w:val="clear" w:color="auto" w:fill="auto"/>
            <w:tcBorders/>
            <w:tcW w:w="4962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Категория риска, R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Значение, балл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280"/>
        </w:trPr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Низкий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Приемлемый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Менее 6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311"/>
        </w:trPr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Умеренный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 6 до 12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225"/>
        </w:trPr>
        <w:tc>
          <w:tcPr>
            <w:shd w:val="clear" w:color="auto" w:fill="auto"/>
            <w:tcBorders/>
            <w:tcW w:w="212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Высокий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Неприемлемый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61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Выше 12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Карта</w:t>
      </w:r>
      <w:r>
        <w:rPr>
          <w:rFonts w:eastAsia="Times New Roman"/>
          <w:color w:val="auto"/>
        </w:rPr>
        <w:t xml:space="preserve"> и</w:t>
      </w:r>
      <w:r>
        <w:rPr>
          <w:rFonts w:eastAsia="Times New Roman"/>
          <w:color w:val="auto"/>
        </w:rPr>
        <w:t xml:space="preserve">дентификации </w:t>
      </w:r>
      <w:r>
        <w:rPr>
          <w:rFonts w:eastAsia="Times New Roman"/>
          <w:color w:val="auto"/>
        </w:rPr>
        <w:t xml:space="preserve"> опасностей и </w:t>
      </w:r>
      <w:r>
        <w:rPr>
          <w:rFonts w:eastAsia="Times New Roman"/>
          <w:color w:val="auto"/>
        </w:rPr>
        <w:t xml:space="preserve">оценки </w:t>
      </w:r>
      <w:r>
        <w:rPr>
          <w:rFonts w:eastAsia="Times New Roman"/>
          <w:color w:val="auto"/>
        </w:rPr>
        <w:t xml:space="preserve">р</w:t>
      </w:r>
      <w:r>
        <w:rPr>
          <w:rFonts w:eastAsia="Times New Roman"/>
          <w:color w:val="auto"/>
        </w:rPr>
        <w:t xml:space="preserve">исков представлена в таблице 6.8</w:t>
      </w:r>
      <w:r>
        <w:rPr>
          <w:rFonts w:eastAsia="Times New Roman"/>
          <w:color w:val="auto"/>
        </w:rPr>
        <w:t xml:space="preserve">. </w:t>
      </w:r>
      <w:r>
        <w:rPr>
          <w:rFonts w:eastAsia="Times New Roman"/>
          <w:color w:val="auto"/>
        </w:rPr>
      </w:r>
      <w:r>
        <w:rPr>
          <w:rFonts w:eastAsia="Times New Roman"/>
          <w:color w:val="auto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highlight w:val="none"/>
        </w:rPr>
      </w:r>
      <w:r>
        <w:rPr>
          <w:highlight w:val="none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Таблица 6.8 – Идентификация опасностей и оценки рисков</w:t>
      </w:r>
      <w:r>
        <w:rPr>
          <w:highlight w:val="none"/>
        </w:rPr>
      </w:r>
    </w:p>
    <w:tbl>
      <w:tblPr>
        <w:tblStyle w:val="1715"/>
        <w:tblpPr w:horzAnchor="text" w:tblpXSpec="left" w:vertAnchor="text" w:tblpY="1" w:leftFromText="180" w:topFromText="0" w:rightFromText="180" w:bottomFromText="0"/>
        <w:tblW w:w="5012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640"/>
        <w:gridCol w:w="169"/>
        <w:gridCol w:w="1700"/>
        <w:gridCol w:w="1048"/>
        <w:gridCol w:w="735"/>
        <w:gridCol w:w="906"/>
        <w:gridCol w:w="855"/>
        <w:gridCol w:w="2540"/>
      </w:tblGrid>
      <w:tr>
        <w:trPr/>
        <w:tc>
          <w:tcPr>
            <w:tcBorders/>
            <w:tcW w:w="16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Опасность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опасности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186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gridSpan w:val="4"/>
            <w:tcBorders/>
            <w:tcW w:w="3543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Оценка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базового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балл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Существующие м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роприятия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 xml:space="preserve">по управлению ри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ками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38"/>
        </w:trPr>
        <w:tc>
          <w:tcPr>
            <w:tcBorders/>
            <w:tcW w:w="1640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gridSpan w:val="2"/>
            <w:tcBorders/>
            <w:tcW w:w="1869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серьезность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последствий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S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вероят-ность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Р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итоговая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величина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R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категория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риска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261"/>
        </w:trPr>
        <w:tc>
          <w:tcPr>
            <w:tcBorders/>
            <w:tcW w:w="16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186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10"/>
        </w:trPr>
        <w:tc>
          <w:tcPr>
            <w:gridSpan w:val="8"/>
            <w:tcBorders/>
            <w:tcW w:w="9593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Arial" w:hAnsi="Arial" w:eastAsia="Times New Roman" w:cs="Arial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Профессия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должность</w:t>
            </w:r>
            <w:r>
              <w:rPr>
                <w:color w:val="000000"/>
                <w:sz w:val="24"/>
                <w:szCs w:val="24"/>
              </w:rPr>
              <w:t xml:space="preserve">: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Инженер-программист</w:t>
            </w:r>
            <w:r>
              <w:rPr>
                <w:rFonts w:ascii="Arial" w:hAnsi="Arial" w:eastAsia="Times New Roman" w:cs="Arial"/>
                <w:b/>
                <w:color w:val="000000"/>
                <w:sz w:val="24"/>
                <w:szCs w:val="24"/>
              </w:rPr>
            </w:r>
            <w:r>
              <w:rPr>
                <w:rFonts w:ascii="Arial" w:hAnsi="Arial" w:eastAsia="Times New Roman" w:cs="Arial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bottom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Повышенное значение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Электротра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мы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местного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Коллективные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средства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защиты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93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709" w:left="0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Продолжение таблицы 6.8</w:t>
            </w:r>
            <w:r>
              <w:rPr>
                <w:rFonts w:eastAsia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top w:val="single" w:color="000000" w:sz="4" w:space="0"/>
            </w:tcBorders>
            <w:tcW w:w="180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напряжения в электрической цепи, замык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 которой может пр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изойти через тело человека</w:t>
            </w:r>
            <w:r/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 общего хара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тера</w:t>
            </w:r>
            <w:r/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104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73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90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инструктаж</w:t>
            </w:r>
            <w:r/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напряженность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электромагнитного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поля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Умственное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перенапряжение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отдыха. 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блюдение графика регламентированных перерывов при работе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 компьютером.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Перенапряжение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анализаторов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Повышенная утомляемость, ухудшение зрения,  стат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ческие пер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грузки костно-мышечного 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парата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отдыха. 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блюдение графика регламентированных перерывов при работе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 xml:space="preserve">с компьютером. 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ы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полнение комплекса упражнений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для глаз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Эмоциональные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перегрузки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Повышенная утомляемость, стресс, нер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ное перен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пряжение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keepNext w:val="true"/>
              <w:pBdr/>
              <w:spacing w:line="240" w:lineRule="auto"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Возникновение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пожара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  <w:r>
              <w:rPr>
                <w:rFonts w:eastAsia="Times New Roman"/>
                <w:bCs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Воздействие токсичных веществ и г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зов (продуктов горения) при п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жаре внутри помещений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Инструктаж, собл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ю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дение требований пожарной безопасн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сти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bottom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Опасность удара (контакт с ко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стру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тивными элементами зд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ний и помещ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ний)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Падение,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травмиров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во время пер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движения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Содержание рабочих мест и проходов в надлежащем состо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нии.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Информирование об авариях и несчастных случаях, происше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ших в других орган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зациях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73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93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0" w:firstLine="709" w:left="0"/>
              <w:jc w:val="left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Продолжение таблицы 6.8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9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4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</w:r>
          </w:p>
        </w:tc>
      </w:tr>
      <w:tr>
        <w:trPr>
          <w:trHeight w:val="173"/>
        </w:trPr>
        <w:tc>
          <w:tcPr>
            <w:gridSpan w:val="2"/>
            <w:tcBorders>
              <w:top w:val="singl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Скользкая п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верхность (пол, ступени лес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ниц, террит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рия)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Падение,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травмиров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во время пер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движения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Контроль за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состо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я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нием зданий, терр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тории.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Уборка снега, нал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е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дей, посыпка песком обледеневших учас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т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ков территории в зимний период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61"/>
        </w:trPr>
        <w:tc>
          <w:tcPr>
            <w:gridSpan w:val="2"/>
            <w:tcBorders/>
            <w:tcW w:w="180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Противоправные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действия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других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лиц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70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Телесные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повреждения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104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73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90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855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40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Соблюдение треб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о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ваний безопасности при нахождении на территории орган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и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зации</w:t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  <w:r>
              <w:rPr>
                <w:rFonts w:eastAsia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widowControl w:val="false"/>
        <w:pBdr/>
        <w:spacing/>
        <w:ind/>
        <w:rPr>
          <w:rFonts w:eastAsia="Times New Roman"/>
          <w:highlight w:val="none"/>
        </w:rPr>
      </w:pPr>
      <w:r>
        <w:rPr>
          <w:rFonts w:eastAsia="Times New Roman"/>
        </w:rPr>
        <w:t xml:space="preserve">Оценка организации охраны труда, производственной санитарии и промышленной безопасности приведена в таблице 6.</w:t>
      </w:r>
      <w:r>
        <w:rPr>
          <w:rFonts w:eastAsia="Times New Roman"/>
        </w:rPr>
        <w:t xml:space="preserve">9</w:t>
      </w:r>
      <w:r>
        <w:rPr>
          <w:rFonts w:eastAsia="Times New Roman"/>
        </w:rPr>
        <w:t xml:space="preserve">.</w:t>
      </w:r>
      <w:r>
        <w:rPr>
          <w:rFonts w:eastAsia="Times New Roman"/>
        </w:rPr>
      </w:r>
      <w:r>
        <w:rPr>
          <w:rFonts w:eastAsia="Times New Roman"/>
          <w:highlight w:val="none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</w:t>
      </w:r>
      <w:r>
        <w:rPr>
          <w:rFonts w:eastAsia="Times New Roman"/>
        </w:rPr>
        <w:t xml:space="preserve">9</w:t>
      </w:r>
      <w:r>
        <w:rPr>
          <w:rFonts w:eastAsia="Times New Roman"/>
        </w:rPr>
        <w:t xml:space="preserve"> – Характеристика производственной санитарии и промышленной безопасности</w:t>
      </w:r>
      <w:r>
        <w:rPr>
          <w:rFonts w:eastAsia="Times New Roman"/>
        </w:rPr>
      </w:r>
    </w:p>
    <w:tbl>
      <w:tblPr>
        <w:tblW w:w="9676" w:type="dxa"/>
        <w:jc w:val="center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65"/>
        <w:gridCol w:w="2711"/>
      </w:tblGrid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Исходные параметры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Характеристика реализуемого параметра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2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Организационные мероприятия по обеспечению охраны труда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инструктаж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Количество </w:t>
            </w: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имевших</w:t>
            </w: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 место за отчетный период: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аварий/количество пострадавших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инцидентов/количество пострадавших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несчастных случаев/количество пострадавших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gridSpan w:val="2"/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67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параметры микроклимата: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предусматриваемые системы вентиляции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естественная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система отопления в помещении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Theme="minorEastAsia"/>
                <w:color w:val="000000" w:themeColor="text1"/>
                <w:sz w:val="24"/>
                <w:szCs w:val="24"/>
                <w:shd w:val="clear" w:color="auto" w:fill="auto"/>
              </w:rPr>
              <w:t xml:space="preserve">центральное водяное отопление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способ уборки помещения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влажная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gridSpan w:val="2"/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67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параметры освещения: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характеристика зрительной работы, разряд и </w:t>
            </w: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подразряд</w:t>
            </w: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 зрительной работы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IV</w:t>
            </w:r>
            <w:r>
              <w:rPr>
                <w:color w:val="000000" w:themeColor="text1"/>
                <w:sz w:val="24"/>
                <w:szCs w:val="24"/>
              </w:rPr>
              <w:t xml:space="preserve">а</w:t>
            </w:r>
            <w:r>
              <w:rPr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вид и система искусственного освещения в помещении</w:t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71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Рабочее, комбинирован-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7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709" w:left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Продолжение таблицы 6.9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</w:t>
            </w: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</w:t>
            </w:r>
            <w:r>
              <w:rPr>
                <w:color w:val="000000" w:themeColor="text1"/>
                <w:sz w:val="24"/>
                <w:szCs w:val="24"/>
              </w:rPr>
              <w:t xml:space="preserve">ное</w:t>
            </w:r>
            <w:r/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источники искусственного освещения / мощность ламп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ЛДЦ 80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/</w:t>
            </w:r>
            <w:r>
              <w:rPr>
                <w:color w:val="000000" w:themeColor="text1"/>
                <w:sz w:val="24"/>
                <w:szCs w:val="24"/>
              </w:rPr>
              <w:t xml:space="preserve">80 Вт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исполнение светильников / количество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Подвесные открытые сверху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исполнение естественного освещения (боковое или боковое и верхнее)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Боковое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мероприятия по обеспечению нормальной зрительной работы (до нормируемых значений) на рабочих местах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bidi="ru-RU"/>
              </w:rPr>
              <w:t xml:space="preserve">Чистка светильников, световых проёмов, источник местного освещения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техническую безопасность: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знаки безопасности на оборудовании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класс помещения по опасности поражения электрическим током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без повышенной опасности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класс электрооборудования по способу защиты человека от поражения электрическим током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I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сопротивление изоляции токоведущих частей, МОм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0,5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тип заземления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T-N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места (зоны) накопления зарядов статического электричества.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ПЭВМ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средства технической и коллективной защиты от поражения электрическим током и статического электричества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изоляция, УЗО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основные и дополнительные электрозащитные средства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color w:val="000000" w:themeColor="text1"/>
              </w:rPr>
            </w:pPr>
            <w:r>
              <w:rPr>
                <w:rStyle w:val="1652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1705"/>
        <w:pBdr/>
        <w:spacing/>
        <w:ind/>
        <w:outlineLvl w:val="0"/>
        <w:rPr/>
      </w:pPr>
      <w:r>
        <w:rPr>
          <w:lang w:eastAsia="ar-SA"/>
        </w:rPr>
        <w:t xml:space="preserve">В соответствии с </w:t>
      </w:r>
      <w:r>
        <w:rPr>
          <w:lang w:eastAsia="ar-SA"/>
        </w:rPr>
        <w:t xml:space="preserve">информацией, представленной в таблице 6.5 представленные мероприятия по обеспечению электробезопасности соответствуют</w:t>
      </w:r>
      <w:r>
        <w:rPr>
          <w:lang w:eastAsia="ar-SA"/>
        </w:rPr>
        <w:t xml:space="preserve"> ТКП 181-2009 (02230) «Правила технической эксплуатации электроустановок потребителей» и </w:t>
      </w:r>
      <w:r>
        <w:rPr>
          <w:bCs/>
        </w:rPr>
        <w:t xml:space="preserve">ТКП 427–2012 «Правила техники безопасности при эксплуатации электроустановок».</w:t>
      </w:r>
      <w:r/>
    </w:p>
    <w:p>
      <w:pPr>
        <w:pStyle w:val="1705"/>
        <w:pBdr/>
        <w:spacing/>
        <w:ind/>
        <w:rPr/>
      </w:pPr>
      <w:r>
        <w:t xml:space="preserve">Далее приведен расчёт необходимого количества светильников для освещения помещения методом светового потока.</w:t>
      </w:r>
      <w:r/>
    </w:p>
    <w:p>
      <w:pPr>
        <w:pStyle w:val="1705"/>
        <w:pBdr/>
        <w:spacing/>
        <w:ind/>
        <w:rPr>
          <w:color w:val="000000"/>
        </w:rPr>
      </w:pPr>
      <w:r>
        <w:rPr>
          <w:color w:val="000000"/>
        </w:rPr>
        <w:t xml:space="preserve">Расчет искусственного освещения в цехе производится методом светового потока по формуле: </w:t>
      </w:r>
      <w:r>
        <w:rPr>
          <w:color w:val="000000"/>
        </w:rPr>
      </w:r>
    </w:p>
    <w:p>
      <w:pPr>
        <w:pStyle w:val="1705"/>
        <w:pBdr/>
        <w:spacing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1705"/>
        <w:pBdr/>
        <w:spacing/>
        <w:ind/>
        <w:jc w:val="right"/>
        <w:rPr>
          <w:color w:val="000000"/>
        </w:rPr>
      </w:pPr>
      <w:r/>
      <m:oMath>
        <m:r>
          <w:rPr>
            <w:rFonts w:ascii="Cambria Math" w:hAnsi="Cambria Math"/>
          </w:rPr>
          <m:rPr/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E</m:t>
                </m:r>
              </m:e>
              <m:sub>
                <m:r>
                  <w:rPr>
                    <w:rFonts w:ascii="Cambria Math" w:hAnsi="Cambria Math"/>
                  </w:rPr>
                  <m:rPr/>
                  <m:t>H</m:t>
                </m:r>
              </m:sub>
            </m:sSub>
            <m:r>
              <w:rPr>
                <w:rFonts w:ascii="Cambria Math" w:hAnsi="Cambria Math"/>
              </w:rPr>
              <m:rPr/>
              <m:t>×S×z×k</m:t>
            </m:r>
          </m:num>
          <m:den>
            <m:r>
              <w:rPr>
                <w:rFonts w:ascii="Cambria Math" w:hAnsi="Cambria Math"/>
              </w:rPr>
              <m:rPr/>
              <m:t>n×F</m:t>
            </m:r>
          </m:den>
        </m:f>
        <m:r>
          <w:rPr>
            <w:rFonts w:ascii="Cambria Math" w:hAnsi="Cambria Math"/>
          </w:rPr>
          <m:rPr/>
          <m:t>,</m:t>
        </m:r>
      </m:oMath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  (6.2)</w:t>
      </w:r>
      <w:r>
        <w:rPr>
          <w:color w:val="000000"/>
        </w:rPr>
      </w:r>
    </w:p>
    <w:p>
      <w:pPr>
        <w:pStyle w:val="1705"/>
        <w:pBdr/>
        <w:spacing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>
        <w:rPr>
          <w:color w:val="000000"/>
        </w:rPr>
        <w:t xml:space="preserve">где </w:t>
      </w:r>
      <w:r>
        <w:rPr>
          <w:color w:val="000000"/>
          <w:lang w:val="en-US"/>
        </w:rPr>
        <w:t xml:space="preserve">N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– число светильников, обеспечивающее требуемую освещенность в помещении, шт.;</w:t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color w:val="000000"/>
        </w:rPr>
        <w:t xml:space="preserve"> – нормируемая освещенность, лк; (для </w:t>
      </w:r>
      <w:r>
        <w:rPr>
          <w:color w:val="000000"/>
          <w:lang w:val="en-US"/>
        </w:rPr>
        <w:t xml:space="preserve">IV</w:t>
      </w:r>
      <w:r>
        <w:rPr>
          <w:color w:val="000000"/>
        </w:rPr>
        <w:t xml:space="preserve">а</w:t>
      </w:r>
      <w:r>
        <w:rPr>
          <w:color w:val="000000"/>
        </w:rPr>
        <w:t xml:space="preserve"> разряда зрительной работы и малого, среднего и большого контраста объекта с фоном – </w:t>
      </w:r>
      <w:r>
        <w:rPr>
          <w:color w:val="000000" w:themeColor="text1"/>
        </w:rPr>
        <w:t xml:space="preserve">300</w:t>
      </w:r>
      <w:r>
        <w:rPr>
          <w:color w:val="ff0000"/>
        </w:rPr>
        <w:t xml:space="preserve"> </w:t>
      </w:r>
      <w:r>
        <w:rPr>
          <w:color w:val="000000"/>
        </w:rPr>
        <w:t xml:space="preserve">лк</w:t>
      </w:r>
      <w:r>
        <w:rPr>
          <w:color w:val="000000"/>
        </w:rPr>
        <w:t xml:space="preserve">);</w:t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F</m:t>
        </m:r>
      </m:oMath>
      <w:r>
        <w:rPr>
          <w:color w:val="000000"/>
        </w:rPr>
        <w:t xml:space="preserve"> – световой поток одной лампы (для ламп ЛДЦ-80 Вт – 3740); </w:t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S</m:t>
        </m:r>
      </m:oMath>
      <w:r>
        <w:rPr>
          <w:color w:val="000000"/>
        </w:rPr>
        <w:t xml:space="preserve"> –  площадь помещения, м</w:t>
      </w:r>
      <w:r>
        <w:rPr>
          <w:color w:val="000000"/>
          <w:vertAlign w:val="superscript"/>
        </w:rPr>
        <w:t xml:space="preserve">2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(19,2</w:t>
      </w:r>
      <w:r>
        <w:t xml:space="preserve"> </w:t>
      </w:r>
      <w:r>
        <w:rPr>
          <w:color w:val="000000"/>
        </w:rPr>
        <w:t xml:space="preserve">м</w:t>
      </w:r>
      <w:r>
        <w:rPr>
          <w:color w:val="000000"/>
          <w:vertAlign w:val="superscript"/>
        </w:rPr>
        <w:t xml:space="preserve">2</w:t>
      </w:r>
      <w:r>
        <w:rPr>
          <w:color w:val="000000"/>
        </w:rPr>
        <w:t xml:space="preserve">); </w:t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k</m:t>
        </m:r>
      </m:oMath>
      <w:r>
        <w:rPr>
          <w:color w:val="000000"/>
        </w:rPr>
        <w:t xml:space="preserve"> – коэффициент запаса, (примем равным 1); </w:t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z</m:t>
        </m:r>
      </m:oMath>
      <w:r>
        <w:rPr>
          <w:color w:val="000000"/>
        </w:rPr>
        <w:t xml:space="preserve"> –  поправочный коэффициент, (примем равным 1,2); </w:t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η</m:t>
        </m:r>
      </m:oMath>
      <w:r>
        <w:rPr>
          <w:color w:val="000000"/>
        </w:rPr>
        <w:t xml:space="preserve"> – коэффициент использования светового потока, зависит от типа светильника, индекса помещения i, коэффициентов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п</w:t>
      </w:r>
      <w:r>
        <w:rPr>
          <w:color w:val="000000"/>
        </w:rPr>
        <w:t xml:space="preserve">,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ст</w:t>
      </w:r>
      <w:r>
        <w:rPr>
          <w:color w:val="000000"/>
        </w:rPr>
        <w:t xml:space="preserve">, и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р</w:t>
      </w:r>
      <w:r>
        <w:rPr>
          <w:color w:val="000000"/>
        </w:rPr>
        <w:t xml:space="preserve"> отражения потолка, стен и рабочей поверхности.</w:t>
      </w:r>
      <w:r>
        <w:rPr>
          <w:color w:val="000000"/>
        </w:rPr>
      </w:r>
    </w:p>
    <w:p>
      <w:pPr>
        <w:pStyle w:val="1705"/>
        <w:pBdr/>
        <w:spacing/>
        <w:ind/>
        <w:rPr>
          <w:color w:val="000000"/>
        </w:rPr>
      </w:pPr>
      <w:r>
        <w:rPr>
          <w:color w:val="000000"/>
        </w:rPr>
        <w:t xml:space="preserve">Для подвесных открытых сверху ламп, коэффициент использования светового потока для подвесных открытых сверху η составляет 0,52.</w:t>
      </w:r>
      <w:r>
        <w:rPr>
          <w:color w:val="000000"/>
        </w:rPr>
        <w:t xml:space="preserve"> Подставляя данные в формулу (6.2), получаем необходимое количество светильников:</w:t>
      </w:r>
      <w:r>
        <w:rPr>
          <w:color w:val="000000"/>
        </w:rPr>
      </w:r>
    </w:p>
    <w:p>
      <w:pPr>
        <w:pStyle w:val="1705"/>
        <w:pBdr/>
        <w:spacing w:after="0"/>
        <w:ind/>
        <w:jc w:val="center"/>
        <w:rPr/>
      </w:pPr>
      <w:r/>
      <w:r/>
    </w:p>
    <w:p>
      <w:pPr>
        <w:pBdr/>
        <w:shd w:val="clear" w:color="auto" w:fill="ffffff"/>
        <w:spacing/>
        <w:ind/>
        <w:jc w:val="center"/>
        <w:rPr>
          <w:i/>
          <w:color w:val="000000"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rPr/>
                <m:t>300</m:t>
              </m:r>
              <m:r>
                <w:rPr>
                  <w:rFonts w:ascii="Cambria Math" w:hAnsi="Cambria Math"/>
                </w:rPr>
                <m:rPr/>
                <m:t>×19,2×1,2×1</m:t>
              </m:r>
            </m:num>
            <m:den>
              <m:r>
                <w:rPr>
                  <w:rFonts w:ascii="Cambria Math" w:hAnsi="Cambria Math"/>
                </w:rPr>
                <m:rPr/>
                <m:t>0,52×3240</m:t>
              </m:r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6912</m:t>
              </m:r>
            </m:num>
            <m:den>
              <m:r>
                <w:rPr>
                  <w:rFonts w:ascii="Cambria Math" w:hAnsi="Cambria Math"/>
                </w:rPr>
                <m:rPr/>
                <m:t>1684,8</m:t>
              </m:r>
            </m:den>
          </m:f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4,1 </m:t>
          </m:r>
          <m:r>
            <w:rPr>
              <w:rFonts w:ascii="Cambria Math" w:hAnsi="Cambria Math"/>
            </w:rPr>
            <m:rPr/>
            <m:t>шт.</m:t>
          </m:r>
        </m:oMath>
      </m:oMathPara>
      <w:r/>
      <w:r>
        <w:rPr>
          <w:i/>
          <w:color w:val="000000"/>
        </w:rPr>
      </w:r>
    </w:p>
    <w:p>
      <w:pPr>
        <w:pStyle w:val="1705"/>
        <w:pBdr/>
        <w:spacing/>
        <w:ind/>
        <w:jc w:val="center"/>
        <w:rPr/>
      </w:pPr>
      <w:r/>
      <w:r/>
    </w:p>
    <w:p>
      <w:pPr>
        <w:pStyle w:val="1705"/>
        <w:pBdr/>
        <w:spacing/>
        <w:ind/>
        <w:outlineLvl w:val="0"/>
        <w:rPr>
          <w:color w:val="000000"/>
        </w:rPr>
      </w:pPr>
      <w:r>
        <w:rPr>
          <w:color w:val="000000"/>
        </w:rPr>
        <w:t xml:space="preserve">Принимаем количество ламп – 4 шт. В помещении установлено 2 светильника.</w:t>
      </w:r>
      <w:r>
        <w:rPr>
          <w:color w:val="000000"/>
        </w:rPr>
      </w:r>
    </w:p>
    <w:p>
      <w:pPr>
        <w:pStyle w:val="1705"/>
        <w:pBdr/>
        <w:spacing/>
        <w:ind/>
        <w:outlineLvl w:val="0"/>
        <w:rPr/>
      </w:pPr>
      <w:r>
        <w:rPr>
          <w:rFonts w:eastAsia="Times New Roman"/>
        </w:rPr>
        <w:t xml:space="preserve"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дирекции.</w:t>
      </w:r>
      <w:r/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Возможные причины возникновения пожара: неисправность электропроводки, неосторожное обращение с огнем, нахождение в помещении горюче-смазочных материалов и других легко воспламеняющихся веществ.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таблице 6.</w:t>
      </w:r>
      <w:r>
        <w:rPr>
          <w:rFonts w:eastAsia="Times New Roman"/>
        </w:rPr>
        <w:t xml:space="preserve">10</w:t>
      </w:r>
      <w:r>
        <w:rPr>
          <w:rFonts w:eastAsia="Times New Roman"/>
        </w:rPr>
        <w:t xml:space="preserve">. отражены основные характеристики организации по степени подверженности пожарам.</w:t>
      </w:r>
      <w:r>
        <w:rPr>
          <w:rFonts w:eastAsia="Times New Roman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1705"/>
        <w:pBdr/>
        <w:spacing w:after="0"/>
        <w:ind/>
        <w:rPr>
          <w:color w:val="000000"/>
        </w:rPr>
      </w:pPr>
      <w:r>
        <w:t xml:space="preserve">Таблица 6.</w:t>
      </w:r>
      <w:r>
        <w:t xml:space="preserve">10</w:t>
      </w:r>
      <w:r>
        <w:t xml:space="preserve"> – Противопожарные мероприятия</w:t>
      </w:r>
      <w:r>
        <w:rPr>
          <w:color w:val="000000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6192"/>
        <w:gridCol w:w="3378"/>
      </w:tblGrid>
      <w:tr>
        <w:trPr>
          <w:trHeight w:val="8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Исходные параметры</w:t>
            </w:r>
            <w:r>
              <w:rPr>
                <w:rFonts w:eastAsia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</w:t>
            </w:r>
            <w:r>
              <w:rPr>
                <w:rFonts w:eastAsia="Times New Roman"/>
                <w:sz w:val="24"/>
                <w:szCs w:val="24"/>
              </w:rPr>
              <w:t xml:space="preserve">реализуемого</w:t>
            </w:r>
            <w:r>
              <w:rPr>
                <w:rFonts w:eastAsia="Times New Roman"/>
              </w:rPr>
            </w:r>
          </w:p>
          <w:p>
            <w:pPr>
              <w:widowControl w:val="false"/>
              <w:pBdr/>
              <w:spacing/>
              <w:ind w:firstLine="45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параметра</w:t>
            </w:r>
            <w:r>
              <w:rPr>
                <w:rFonts w:eastAsia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Наименование помещения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Кабинет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Материал стен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кирпич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Класс функциональной пожарной опасности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 4.3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Категория по </w:t>
            </w:r>
            <w:r>
              <w:rPr>
                <w:rFonts w:eastAsia="Times New Roman"/>
                <w:sz w:val="24"/>
                <w:szCs w:val="24"/>
              </w:rPr>
              <w:t xml:space="preserve">взрыво-пожароопасности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_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Класс пожарной опасности строительных конструкций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</w:t>
            </w:r>
            <w:r>
              <w:rPr>
                <w:rFonts w:eastAsia="Times New Roman"/>
                <w:sz w:val="32"/>
                <w:szCs w:val="32"/>
                <w:vertAlign w:val="subscript"/>
              </w:rPr>
              <w:t xml:space="preserve">0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Предел огнестойкости строительных конструкций: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стен 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 60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перекрытий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REI-45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Степень огнестойкости здания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Symbol" w:hAnsi="Symbol" w:eastAsia="Symbol" w:cs="Symbol"/>
                <w:sz w:val="24"/>
                <w:szCs w:val="24"/>
              </w:rPr>
              <w:t xml:space="preserve">I</w:t>
            </w:r>
            <w:r>
              <w:rPr>
                <w:rFonts w:ascii="Symbol" w:hAnsi="Symbol" w:eastAsia="Symbol" w:cs="Symbol"/>
                <w:sz w:val="24"/>
                <w:szCs w:val="24"/>
              </w:rPr>
              <w:t xml:space="preserve">I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Количество эвакуационных выходов, шт.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Автоматические установки огнетушения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Тип </w:t>
            </w:r>
            <w:r>
              <w:rPr>
                <w:rFonts w:eastAsia="Times New Roman"/>
                <w:sz w:val="24"/>
                <w:szCs w:val="24"/>
              </w:rPr>
              <w:t xml:space="preserve">извещателей</w:t>
            </w:r>
            <w:r>
              <w:rPr>
                <w:rFonts w:eastAsia="Times New Roman"/>
                <w:sz w:val="24"/>
                <w:szCs w:val="24"/>
              </w:rPr>
              <w:t xml:space="preserve"> о пожаре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дымовой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0" w:left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Первичные средства огнетушения, количество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ОП-4 – 1шт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widowControl w:val="false"/>
        <w:pBdr/>
        <w:spacing/>
        <w:ind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Мероприятия по обеспечению пожарной безопасности соответствуют требованиям приложения № 3 Декрета Президента Республики Беларусь от </w:t>
      </w:r>
      <w:r>
        <w:rPr>
          <w:rFonts w:eastAsia="Times New Roman"/>
          <w:color w:val="000000" w:themeColor="text1"/>
        </w:rPr>
        <w:t xml:space="preserve">23.1</w:t>
      </w:r>
      <w:r>
        <w:rPr>
          <w:rFonts w:eastAsia="Times New Roman"/>
          <w:color w:val="000000" w:themeColor="text1"/>
        </w:rPr>
        <w:t xml:space="preserve">1.2017 № 7 «Общие требования пожарной безопасности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хозяйствования», ТНПА противопожарного нормирования и стандартизации.</w:t>
      </w:r>
      <w:r>
        <w:rPr>
          <w:rFonts w:eastAsia="Times New Roman"/>
          <w:color w:val="000000" w:themeColor="text1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Во исполнение Закона Республики Беларусь «О пенсионном обеспечении»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Аттестация проводится в соответствии с Положением о порядке проведения аттестации рабочих мест по условиям труда и Инструкцией по оценке условий труда при аттестации рабочих мест по условиям труда и предоставлению компенсаций по ее результатам.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основу аттестации рабочих мест положены гигие</w:t>
      </w:r>
      <w:r>
        <w:rPr>
          <w:rFonts w:eastAsia="Times New Roman"/>
        </w:rPr>
        <w:t xml:space="preserve">нические критерии оценки условий труда, установленные в Санитарных нормах, правилах и гигиенических нормативах «Гигиеническая классификация условий труда», утвержденных Постановлением Министерства здравоохранения Республики Беларусь от 28.12.2012 г. № 211.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соответствии с этим документом условия труда подразделяются на четыре класса: оптимальные, допустимые – относятся </w:t>
      </w:r>
      <w:r>
        <w:rPr>
          <w:rFonts w:eastAsia="Times New Roman"/>
        </w:rPr>
        <w:t xml:space="preserve">к</w:t>
      </w:r>
      <w:r>
        <w:rPr>
          <w:rFonts w:eastAsia="Times New Roman"/>
        </w:rPr>
        <w:t xml:space="preserve"> безопасным, вредные и опасные. Компенсация профессиональных вредностей, а также средства защиты и личная гигиена рабочих представлены в таблице 6.</w:t>
      </w:r>
      <w:r>
        <w:rPr>
          <w:rFonts w:eastAsia="Times New Roman"/>
        </w:rPr>
        <w:t xml:space="preserve">11</w:t>
      </w:r>
      <w:r>
        <w:rPr>
          <w:rFonts w:eastAsia="Times New Roman"/>
        </w:rPr>
        <w:t xml:space="preserve">.</w:t>
      </w:r>
      <w:r>
        <w:rPr>
          <w:rFonts w:eastAsia="Times New Roman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</w:t>
      </w:r>
      <w:r>
        <w:rPr>
          <w:rFonts w:eastAsia="Times New Roman"/>
        </w:rPr>
        <w:t xml:space="preserve">11</w:t>
      </w:r>
      <w:r>
        <w:rPr>
          <w:rFonts w:eastAsia="Times New Roman"/>
        </w:rPr>
        <w:t xml:space="preserve"> – Компенсация профессиональных вредностей. Средства индивидуальной защиты и личная гигиена </w:t>
      </w:r>
      <w:r>
        <w:rPr>
          <w:rFonts w:eastAsia="Times New Roman"/>
        </w:rPr>
        <w:t xml:space="preserve">работающих</w:t>
      </w:r>
      <w:r>
        <w:rPr>
          <w:rFonts w:eastAsia="Times New Roman"/>
        </w:rPr>
      </w:r>
    </w:p>
    <w:tbl>
      <w:tblPr>
        <w:tblW w:w="9639" w:type="dxa"/>
        <w:tblInd w:w="109" w:type="dxa"/>
        <w:tblBorders/>
        <w:tblLayout w:type="fixed"/>
        <w:tblLook w:val="0000" w:firstRow="0" w:lastRow="0" w:firstColumn="0" w:lastColumn="0" w:noHBand="0" w:noVBand="0"/>
      </w:tblPr>
      <w:tblGrid>
        <w:gridCol w:w="5813"/>
        <w:gridCol w:w="382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Исходные параметры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Значение реализуемого параметра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Профессия (должность)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Инженер - 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программист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Условия труда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2 класс – 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допустимые</w:t>
            </w:r>
            <w:r/>
          </w:p>
        </w:tc>
      </w:tr>
      <w:tr>
        <w:trPr>
          <w:trHeight w:val="48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Продолжительность дополнительного отпуска, дни</w:t>
            </w:r>
            <w:r/>
          </w:p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Пенсионный возраст, лет (202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4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1 (по контракту)</w:t>
            </w:r>
            <w:r/>
          </w:p>
        </w:tc>
      </w:tr>
      <w:tr>
        <w:trPr>
          <w:trHeight w:val="2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– женщин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58</w:t>
            </w:r>
            <w:r/>
          </w:p>
        </w:tc>
      </w:tr>
      <w:tr>
        <w:trPr>
          <w:trHeight w:val="29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– мужчин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63</w:t>
            </w:r>
            <w:r/>
          </w:p>
        </w:tc>
      </w:tr>
      <w:tr>
        <w:trPr>
          <w:cantSplit/>
          <w:trHeight w:val="2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Обеспечение ЛПП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/>
          <w:trHeight w:val="281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Спецодеждой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>
          <w:trHeight w:val="28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3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right="0" w:firstLine="709" w:left="0"/>
              <w:jc w:val="left"/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Продолжение таблицы 6.11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2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</w:r>
          </w:p>
        </w:tc>
      </w:tr>
      <w:tr>
        <w:trPr>
          <w:cantSplit/>
          <w:trHeight w:val="2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Спецобувью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>
          <w:cantSplit/>
          <w:trHeight w:val="52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Средствами индивидуальной защиты органов зрения и дыхания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Средства обеззараживания кожи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вода, мыло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антисептик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Метод обеззараживания кожи</w:t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мытье рук</w:t>
            </w: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2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652"/>
                <w:rFonts w:eastAsia="Calibri"/>
                <w:sz w:val="24"/>
                <w:szCs w:val="24"/>
                <w:shd w:val="clear" w:color="auto" w:fill="auto"/>
              </w:rPr>
              <w:t xml:space="preserve">Периодичность медосмотра</w:t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ascii="Symbol" w:hAnsi="Symbol" w:eastAsia="Symbol" w:cs="Symbol"/>
              </w:rPr>
              <w:t xml:space="preserve">-</w:t>
            </w:r>
            <w:r/>
            <w:r/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ходе выполнения раздела «Охрана труда» была проделана следующая работа: </w:t>
      </w:r>
      <w:r>
        <w:rPr>
          <w:rFonts w:eastAsia="Times New Roman"/>
        </w:rPr>
      </w:r>
    </w:p>
    <w:p>
      <w:pPr>
        <w:pStyle w:val="1669"/>
        <w:pBdr/>
        <w:tabs>
          <w:tab w:val="clear" w:leader="none" w:pos="0"/>
        </w:tabs>
        <w:spacing/>
        <w:ind w:firstLine="709" w:left="0"/>
        <w:rPr>
          <w:color w:val="000000" w:themeColor="text1"/>
        </w:rPr>
      </w:pPr>
      <w:r>
        <w:rPr>
          <w:color w:val="000000" w:themeColor="text1"/>
        </w:rPr>
        <w:t xml:space="preserve">- Дана характеристика объекта с точки зрения охраны труда: условия труда </w:t>
      </w:r>
      <w:r>
        <w:rPr>
          <w:color w:val="000000" w:themeColor="text1"/>
        </w:rPr>
        <w:t xml:space="preserve">инженера</w:t>
      </w:r>
      <w:r>
        <w:rPr>
          <w:color w:val="000000" w:themeColor="text1"/>
        </w:rPr>
        <w:t xml:space="preserve">-программиста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предприятия относятся к допустимым условиям (2 класс), которые характеризуются такими уровнями факторов среды и трудового процесса, которые не превышают установ</w:t>
      </w:r>
      <w:r>
        <w:rPr>
          <w:color w:val="000000" w:themeColor="text1"/>
        </w:rPr>
        <w:t xml:space="preserve">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</w:t>
      </w:r>
      <w:r>
        <w:rPr>
          <w:color w:val="000000" w:themeColor="text1"/>
        </w:rPr>
        <w:t xml:space="preserve"> действия на состояние здоровья работников в ближайшем и отдаленном периоде.</w:t>
      </w:r>
      <w:r>
        <w:rPr>
          <w:color w:val="000000" w:themeColor="text1"/>
        </w:rPr>
      </w:r>
    </w:p>
    <w:p>
      <w:pPr>
        <w:pStyle w:val="1669"/>
        <w:numPr>
          <w:ilvl w:val="0"/>
          <w:numId w:val="6"/>
        </w:numPr>
        <w:pBdr/>
        <w:spacing/>
        <w:ind w:firstLine="709" w:left="0"/>
        <w:rPr>
          <w:color w:val="000000" w:themeColor="text1"/>
        </w:rPr>
      </w:pPr>
      <w:r>
        <w:rPr>
          <w:color w:val="000000" w:themeColor="text1"/>
        </w:rPr>
        <w:t xml:space="preserve">Разработана карта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идентификации опасностей и оценки</w:t>
      </w:r>
      <w:r>
        <w:rPr>
          <w:color w:val="000000" w:themeColor="text1"/>
        </w:rPr>
        <w:t xml:space="preserve"> рисков для инженера</w:t>
      </w:r>
      <w:r>
        <w:rPr>
          <w:color w:val="000000" w:themeColor="text1"/>
        </w:rPr>
        <w:t xml:space="preserve">-программиста</w:t>
      </w:r>
      <w:r>
        <w:rPr>
          <w:color w:val="000000" w:themeColor="text1"/>
        </w:rPr>
        <w:t xml:space="preserve"> предприятия.</w:t>
      </w:r>
      <w:r>
        <w:rPr>
          <w:color w:val="000000" w:themeColor="text1"/>
        </w:rPr>
      </w:r>
    </w:p>
    <w:p>
      <w:pPr>
        <w:pStyle w:val="1669"/>
        <w:numPr>
          <w:ilvl w:val="0"/>
          <w:numId w:val="6"/>
        </w:numPr>
        <w:pBdr/>
        <w:spacing/>
        <w:ind w:firstLine="709" w:left="0"/>
        <w:rPr>
          <w:color w:val="000000" w:themeColor="text1"/>
        </w:rPr>
      </w:pPr>
      <w:r>
        <w:rPr>
          <w:color w:val="000000" w:themeColor="text1"/>
        </w:rPr>
        <w:t xml:space="preserve">Произведена оценка организации охраны труда, производственной санитарии, </w:t>
      </w:r>
      <w:r>
        <w:rPr>
          <w:color w:val="000000" w:themeColor="text1"/>
        </w:rPr>
        <w:t xml:space="preserve">промышленной и пожарной безопас</w:t>
      </w:r>
      <w:r>
        <w:rPr>
          <w:color w:val="000000" w:themeColor="text1"/>
        </w:rPr>
        <w:t xml:space="preserve">ности.</w:t>
      </w:r>
      <w:r>
        <w:rPr>
          <w:color w:val="000000" w:themeColor="text1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851" w:right="851" w:bottom="1701" w:left="1701" w:header="0" w:footer="709" w:gutter="0"/>
      <w:pgNumType w:start="57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Journal">
    <w:panose1 w:val="02000603000000000000"/>
  </w:font>
  <w:font w:name="Symbol">
    <w:panose1 w:val="05050102010706020507"/>
  </w:font>
  <w:font w:name="ISOCPEUR">
    <w:panose1 w:val="020B060402020202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Courier New">
    <w:panose1 w:val="020703090202050204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7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21590" distL="0" distR="21590" simplePos="0" relativeHeight="125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8575"/>
              <wp:effectExtent l="13335" t="13335" r="1206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125;o:allowoverlap:true;o:allowincell:false;mso-position-horizontal-relative:page;margin-left:56.70pt;mso-position-horizontal:absolute;mso-position-vertical-relative:page;margin-top:19.85pt;mso-position-vertical:absolute;width:518.75pt;height:802.25pt;mso-wrap-distance-left:0.00pt;mso-wrap-distance-top:0.00pt;mso-wrap-distance-right:1.70pt;mso-wrap-distance-bottom:1.70pt;" coordorigin="0,0" coordsize="65880,101887">
              <v:shape id="shape 1" o:spid="_x0000_s1" o:spt="1" type="#_x0000_t1" style="position:absolute;left:0;top:0;width:65880;height:101887;visibility:visible;" filled="f" strokecolor="#000000" strokeweight="2.00pt"/>
              <v:line id="shape 2" o:spid="_x0000_s2" style="position:absolute;left:0;text-align:left;z-index:-125;visibility:visible;" from="0.0pt,0.0pt" to="65880.0pt,101887.2pt" filled="f" strokecolor="#000000" strokeweight="2.00pt"/>
              <v:line id="shape 3" o:spid="_x0000_s3" style="position:absolute;left:0;text-align:left;z-index:-125;visibility:visible;" from="0.0pt,0.0pt" to="65880.0pt,101887.2pt" filled="f" strokecolor="#000000" strokeweight="2.00pt"/>
              <v:line id="shape 4" o:spid="_x0000_s4" style="position:absolute;left:0;text-align:left;z-index:-125;visibility:visible;" from="0.0pt,0.0pt" to="65880.0pt,101887.2pt" filled="f" strokecolor="#000000" strokeweight="2.00pt"/>
              <v:line id="shape 5" o:spid="_x0000_s5" style="position:absolute;left:0;text-align:left;z-index:-125;visibility:visible;" from="0.0pt,0.0pt" to="65880.0pt,101887.2pt" filled="f" strokecolor="#000000" strokeweight="2.00pt"/>
              <v:line id="shape 6" o:spid="_x0000_s6" style="position:absolute;left:0;text-align:left;z-index:-125;visibility:visible;" from="0.0pt,0.0pt" to="65880.0pt,101887.2pt" filled="f" strokecolor="#000000" strokeweight="2.00pt"/>
              <v:line id="shape 7" o:spid="_x0000_s7" style="position:absolute;left:0;text-align:left;z-index:-125;visibility:visible;" from="0.0pt,0.0pt" to="65880.0pt,101887.2pt" filled="f" strokecolor="#000000" strokeweight="2.00pt"/>
              <v:line id="shape 8" o:spid="_x0000_s8" style="position:absolute;left:0;text-align:left;z-index:-125;visibility:visible;" from="0.0pt,0.0pt" to="65880.0pt,101887.2pt" filled="f" strokecolor="#000000" strokeweight="2.00pt"/>
              <v:line id="shape 9" o:spid="_x0000_s9" style="position:absolute;left:0;text-align:left;z-index:-125;visibility:visible;" from="0.0pt,0.0pt" to="65880.0pt,101887.2pt" filled="f" strokecolor="#000000" strokeweight="1.00pt"/>
              <v:line id="shape 10" o:spid="_x0000_s10" style="position:absolute;left:0;text-align:left;z-index:-125;visibility:visible;" from="0.0pt,0.0pt" to="65880.0pt,101887.2pt" filled="f" strokecolor="#000000" strokeweight="2.00pt"/>
              <v:line id="shape 11" o:spid="_x0000_s11" style="position:absolute;left:0;text-align:left;z-index:-125;visibility:visible;" from="0.0pt,0.0pt" to="65880.0pt,101887.2pt" filled="f" strokecolor="#000000" strokeweight="1.00pt"/>
              <v:shape id="shape 12" o:spid="_x0000_s12" o:spt="1" type="#_x0000_t1" style="position:absolute;left:176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751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466;top:100159;width:8470;height:1569;v-text-anchor:top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416;top:100159;width:5047;height:1569;v-text-anchor:top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1754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2427;top:96678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2427;top:99014;width:3290;height:2145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513;top:97923;width:36482;height:2426;v-text-anchor:top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21590" distL="0" distR="21590" simplePos="0" relativeHeight="2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125" cy="10188575"/>
              <wp:effectExtent l="13335" t="13335" r="12065" b="12065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1120" cy="157320"/>
                          <a:chOff x="0" y="0"/>
                          <a:chExt cx="0" cy="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Попко</w:t>
                              </w: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 Е.П.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1120" cy="157320"/>
                          <a:chOff x="0" y="0"/>
                          <a:chExt cx="0" cy="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697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60" y="9301320"/>
                          <a:ext cx="2072160" cy="88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Охрана труда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97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2;o:allowoverlap:true;o:allowincell:false;mso-position-horizontal-relative:page;margin-left:57.00pt;mso-position-horizontal:absolute;mso-position-vertical-relative:page;margin-top:19.50pt;mso-position-vertical:absolute;width:518.75pt;height:802.25pt;mso-wrap-distance-left:0.00pt;mso-wrap-distance-top:0.00pt;mso-wrap-distance-right:1.70pt;mso-wrap-distance-bottom:1.70pt;" coordorigin="0,0" coordsize="65880,101887">
              <v:shape id="shape 21" o:spid="_x0000_s21" o:spt="1" type="#_x0000_t1" style="position:absolute;left:0;top:0;width:65880;height:101887;visibility:visible;" filled="f" strokecolor="#000000" strokeweight="2.00pt"/>
              <v:line id="shape 22" o:spid="_x0000_s22" style="position:absolute;left:0;text-align:left;z-index:-2;visibility:visible;" from="0.0pt,0.0pt" to="65880.0pt,101887.2pt" filled="f" strokecolor="#000000" strokeweight="2.00pt"/>
              <v:line id="shape 23" o:spid="_x0000_s23" style="position:absolute;left:0;text-align:left;z-index:-2;visibility:visible;" from="0.0pt,0.0pt" to="65880.0pt,101887.2pt" filled="f" strokecolor="#000000" strokeweight="2.00pt"/>
              <v:line id="shape 24" o:spid="_x0000_s24" style="position:absolute;left:0;text-align:left;z-index:-2;visibility:visible;" from="0.0pt,0.0pt" to="65880.0pt,101887.2pt" filled="f" strokecolor="#000000" strokeweight="2.00pt"/>
              <v:line id="shape 25" o:spid="_x0000_s25" style="position:absolute;left:0;text-align:left;z-index:-2;visibility:visible;" from="0.0pt,0.0pt" to="65880.0pt,101887.2pt" filled="f" strokecolor="#000000" strokeweight="2.00pt"/>
              <v:line id="shape 26" o:spid="_x0000_s26" style="position:absolute;left:0;text-align:left;z-index:-2;visibility:visible;" from="0.0pt,0.0pt" to="65880.0pt,101887.2pt" filled="f" strokecolor="#000000" strokeweight="2.00pt"/>
              <v:line id="shape 27" o:spid="_x0000_s27" style="position:absolute;left:0;text-align:left;z-index:-2;visibility:visible;" from="0.0pt,0.0pt" to="65880.0pt,101887.2pt" filled="f" strokecolor="#000000" strokeweight="2.00pt"/>
              <v:line id="shape 28" o:spid="_x0000_s28" style="position:absolute;left:0;text-align:left;z-index:-2;visibility:visible;" from="0.0pt,0.0pt" to="65880.0pt,101887.2pt" filled="f" strokecolor="#000000" strokeweight="2.00pt"/>
              <v:line id="shape 29" o:spid="_x0000_s29" style="position:absolute;left:0;text-align:left;z-index:-2;visibility:visible;" from="0.0pt,0.0pt" to="65880.0pt,101887.2pt" filled="f" strokecolor="#000000" strokeweight="1.00pt"/>
              <v:line id="shape 30" o:spid="_x0000_s30" style="position:absolute;left:0;text-align:left;z-index:-2;visibility:visible;" from="0.0pt,0.0pt" to="65880.0pt,101887.2pt" filled="f" strokecolor="#000000" strokeweight="1.00pt"/>
              <v:shape id="shape 31" o:spid="_x0000_s31" o:spt="1" type="#_x0000_t1" style="position:absolute;left:176;top:91256;width:2901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59;top:91256;width:3618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6;top:91256;width:8470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6;top:91256;width:5047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4;top:91256;width:3290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7;top:93013;width:4852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7;top:94874;width:4852;height:1573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3;top:89060;width:40050;height:2426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-2;visibility:visible;" from="25563.6pt,89060.4pt" to="65613.6pt,91486.8pt" filled="f" strokecolor="#000000" strokeweight="2.00pt"/>
              <v:line id="shape 40" o:spid="_x0000_s40" style="position:absolute;left:0;text-align:left;z-index:-2;visibility:visible;" from="25563.6pt,89060.4pt" to="65613.6pt,91486.8pt" filled="f" strokecolor="#000000" strokeweight="2.00pt"/>
              <v:line id="shape 41" o:spid="_x0000_s41" style="position:absolute;left:0;text-align:left;z-index:-2;visibility:visible;" from="25563.6pt,89060.4pt" to="65613.6pt,91486.8pt" filled="f" strokecolor="#000000" strokeweight="1.00pt"/>
              <v:line id="shape 42" o:spid="_x0000_s42" style="position:absolute;left:0;text-align:left;z-index:-2;visibility:visible;" from="25563.6pt,89060.4pt" to="65613.6pt,91486.8pt" filled="f" strokecolor="#000000" strokeweight="1.00pt"/>
              <v:line id="shape 43" o:spid="_x0000_s43" style="position:absolute;left:0;text-align:left;z-index:-2;visibility:visible;" from="25563.6pt,89060.4pt" to="65613.6pt,91486.8pt" filled="f" strokecolor="#000000" strokeweight="1.00pt"/>
              <v:group id="group 44" o:spid="_x0000_s0000" style="position:absolute;left:126;top:93067;width:15811;height:1573;" coordorigin="0,0" coordsize="0,0">
                <v:shape id="shape 45" o:spid="_x0000_s45" o:spt="1" type="#_x0000_t1" style="position:absolute;left:0;top:0;width:6998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40;top:0;width:8470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4831;width:15811;height:1569;" coordorigin="0,0" coordsize="0,0">
                <v:shape id="shape 48" o:spid="_x0000_s48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Попко</w:t>
                        </w: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 Е.П.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6642;width:15811;height:1569;" coordorigin="0,0" coordsize="0,0">
                <v:shape id="shape 51" o:spid="_x0000_s51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6;top:98398;width:15811;height:1573;" coordorigin="0,0" coordsize="0,0">
                <v:shape id="shape 54" o:spid="_x0000_s54" o:spt="1" type="#_x0000_t1" style="position:absolute;left:0;top:0;width:6998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40;top:0;width:8470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6;top:100159;width:15811;height:1569;" coordorigin="0,0" coordsize="0,0">
                <v:shape id="shape 57" o:spid="_x0000_s57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697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-2;visibility:visible;" from="7340.4pt,0.0pt" to="15811.2pt,1569.6pt" filled="f" strokecolor="#000000" strokeweight="2.00pt"/>
              <v:shape id="shape 60" o:spid="_x0000_s60" o:spt="1" type="#_x0000_t1" style="position:absolute;left:25653;top:93013;width:20721;height:8870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Охрана труда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2;visibility:visible;" from="25653.6pt,93013.2pt" to="46375.2pt,101883.6pt" filled="f" strokecolor="#000000" strokeweight="2.00pt"/>
              <v:line id="shape 62" o:spid="_x0000_s62" style="position:absolute;left:0;text-align:left;z-index:-2;visibility:visible;" from="25653.6pt,93013.2pt" to="46375.2pt,101883.6pt" filled="f" strokecolor="#000000" strokeweight="2.00pt"/>
              <v:line id="shape 63" o:spid="_x0000_s63" style="position:absolute;left:0;text-align:left;z-index:-2;visibility:visible;" from="25653.6pt,93013.2pt" to="46375.2pt,101883.6pt" filled="f" strokecolor="#000000" strokeweight="2.00pt"/>
              <v:shape id="shape 64" o:spid="_x0000_s64" o:spt="1" type="#_x0000_t1" style="position:absolute;left:47091;top:93013;width:4852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6;top:93013;width:7657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49;top:94824;width:7657;height:1569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2;visibility:visible;" from="57949.2pt,94824.0pt" to="65606.4pt,96393.6pt" filled="f" strokecolor="#000000" strokeweight="1.00pt"/>
              <v:line id="shape 68" o:spid="_x0000_s68" style="position:absolute;left:0;text-align:left;z-index:-2;visibility:visible;" from="57949.2pt,94824.0pt" to="65606.4pt,96393.6pt" filled="f" strokecolor="#000000" strokeweight="1.00pt"/>
              <v:shape id="shape 69" o:spid="_x0000_s69" o:spt="1" type="#_x0000_t1" style="position:absolute;left:47091;top:97923;width:18471;height:2235;v-text-anchor:middle;visibility:visible;" filled="f" stroked="f" strokeweight="0.00pt">
                <v:textbox inset="0,0,0,0">
                  <w:txbxContent>
                    <w:p>
                      <w:pPr>
                        <w:pStyle w:val="1697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Times New Roman" w:hAnsi="Times New Roman" w:cs="Times New Roman" w:eastAsiaTheme="minorEastAsia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92"/>
        </w:tabs>
        <w:spacing/>
        <w:ind w:hanging="360" w:left="1069"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602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603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604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605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606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607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608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609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610"/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9"/>
      </w:pPr>
      <w:rPr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space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1069"/>
      </w:pPr>
      <w:pStyle w:val="1617"/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611"/>
    <w:link w:val="16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611"/>
    <w:link w:val="160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611"/>
    <w:link w:val="16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611"/>
    <w:link w:val="16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611"/>
    <w:link w:val="16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611"/>
    <w:link w:val="16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1611"/>
    <w:link w:val="16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1611"/>
    <w:link w:val="16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1611"/>
    <w:link w:val="16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1611"/>
    <w:link w:val="1681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601"/>
    <w:next w:val="160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6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601"/>
    <w:next w:val="160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601"/>
    <w:next w:val="160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611"/>
    <w:link w:val="1676"/>
    <w:uiPriority w:val="99"/>
    <w:pPr>
      <w:pBdr/>
      <w:spacing/>
      <w:ind/>
    </w:pPr>
  </w:style>
  <w:style w:type="character" w:styleId="45">
    <w:name w:val="Footer Char"/>
    <w:basedOn w:val="1611"/>
    <w:link w:val="1677"/>
    <w:uiPriority w:val="99"/>
    <w:pPr>
      <w:pBdr/>
      <w:spacing/>
      <w:ind/>
    </w:pPr>
  </w:style>
  <w:style w:type="character" w:styleId="47">
    <w:name w:val="Caption Char"/>
    <w:basedOn w:val="1666"/>
    <w:link w:val="1677"/>
    <w:uiPriority w:val="99"/>
    <w:pPr>
      <w:pBdr/>
      <w:spacing/>
      <w:ind/>
    </w:pPr>
  </w:style>
  <w:style w:type="table" w:styleId="49">
    <w:name w:val="Table Grid Light"/>
    <w:basedOn w:val="16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6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6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6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6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6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6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6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6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6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6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6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60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6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60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61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1601"/>
    <w:next w:val="160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601"/>
    <w:next w:val="160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601"/>
    <w:next w:val="160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601"/>
    <w:next w:val="160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601"/>
    <w:next w:val="160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601"/>
    <w:next w:val="1601"/>
    <w:uiPriority w:val="39"/>
    <w:unhideWhenUsed/>
    <w:pPr>
      <w:pBdr/>
      <w:spacing w:after="57"/>
      <w:ind w:right="0" w:firstLine="0" w:left="2268"/>
    </w:pPr>
  </w:style>
  <w:style w:type="paragraph" w:styleId="1601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paragraph" w:styleId="1602">
    <w:name w:val="Heading 1"/>
    <w:basedOn w:val="1601"/>
    <w:next w:val="1601"/>
    <w:link w:val="1614"/>
    <w:uiPriority w:val="9"/>
    <w:qFormat/>
    <w:pPr>
      <w:keepNext w:val="true"/>
      <w:keepLines w:val="true"/>
      <w:pageBreakBefore w:val="true"/>
      <w:numPr>
        <w:ilvl w:val="0"/>
        <w:numId w:val="1"/>
      </w:numPr>
      <w:pBdr/>
      <w:tabs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1603">
    <w:name w:val="Heading 2"/>
    <w:basedOn w:val="1669"/>
    <w:next w:val="1601"/>
    <w:link w:val="1624"/>
    <w:uiPriority w:val="9"/>
    <w:unhideWhenUsed/>
    <w:qFormat/>
    <w:pPr>
      <w:numPr>
        <w:ilvl w:val="1"/>
        <w:numId w:val="1"/>
      </w:numPr>
      <w:pBdr/>
      <w:tabs>
        <w:tab w:val="left" w:leader="none" w:pos="851"/>
        <w:tab w:val="clear" w:leader="none" w:pos="993"/>
      </w:tabs>
      <w:spacing/>
      <w:ind w:firstLine="709" w:left="0"/>
      <w:outlineLvl w:val="1"/>
    </w:pPr>
    <w:rPr>
      <w:b/>
    </w:rPr>
  </w:style>
  <w:style w:type="paragraph" w:styleId="1604">
    <w:name w:val="Heading 3"/>
    <w:basedOn w:val="1603"/>
    <w:next w:val="1601"/>
    <w:link w:val="1625"/>
    <w:uiPriority w:val="9"/>
    <w:unhideWhenUsed/>
    <w:qFormat/>
    <w:pPr>
      <w:numPr>
        <w:ilvl w:val="2"/>
      </w:numPr>
      <w:pBdr/>
      <w:tabs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1605">
    <w:name w:val="Heading 4"/>
    <w:basedOn w:val="1601"/>
    <w:next w:val="1601"/>
    <w:link w:val="1626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1606">
    <w:name w:val="Heading 5"/>
    <w:basedOn w:val="1601"/>
    <w:link w:val="1714"/>
    <w:uiPriority w:val="9"/>
    <w:qFormat/>
    <w:pPr>
      <w:numPr>
        <w:ilvl w:val="4"/>
        <w:numId w:val="1"/>
      </w:numPr>
      <w:pBdr/>
      <w:spacing w:afterAutospacing="1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1607">
    <w:name w:val="Heading 6"/>
    <w:basedOn w:val="1601"/>
    <w:next w:val="1601"/>
    <w:link w:val="1627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1608">
    <w:name w:val="Heading 7"/>
    <w:basedOn w:val="1601"/>
    <w:next w:val="1601"/>
    <w:link w:val="1628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1609">
    <w:name w:val="Heading 8"/>
    <w:basedOn w:val="1601"/>
    <w:next w:val="1601"/>
    <w:link w:val="1629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610">
    <w:name w:val="Heading 9"/>
    <w:basedOn w:val="1601"/>
    <w:next w:val="1601"/>
    <w:link w:val="1630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611" w:default="1">
    <w:name w:val="Default Paragraph Font"/>
    <w:uiPriority w:val="1"/>
    <w:unhideWhenUsed/>
    <w:pPr>
      <w:pBdr/>
      <w:spacing/>
      <w:ind/>
    </w:pPr>
  </w:style>
  <w:style w:type="table" w:styleId="16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13" w:default="1">
    <w:name w:val="No List"/>
    <w:uiPriority w:val="99"/>
    <w:semiHidden/>
    <w:unhideWhenUsed/>
    <w:pPr>
      <w:pBdr/>
      <w:spacing/>
      <w:ind/>
    </w:pPr>
  </w:style>
  <w:style w:type="character" w:styleId="1614" w:customStyle="1">
    <w:name w:val="Заголовок 1 Знак"/>
    <w:basedOn w:val="1611"/>
    <w:link w:val="1602"/>
    <w:uiPriority w:val="9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615" w:customStyle="1">
    <w:name w:val="Заголовок 5 Знак"/>
    <w:basedOn w:val="1611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616" w:customStyle="1">
    <w:name w:val="Стандартный HTML Знак"/>
    <w:basedOn w:val="1611"/>
    <w:link w:val="1671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617" w:customStyle="1">
    <w:name w:val="Без интервала Знак"/>
    <w:basedOn w:val="1611"/>
    <w:link w:val="1670"/>
    <w:uiPriority w:val="1"/>
    <w:qFormat/>
    <w:pPr>
      <w:pBdr/>
      <w:spacing/>
      <w:ind/>
    </w:pPr>
    <w:rPr>
      <w:rFonts w:asciiTheme="majorHAnsi" w:hAnsiTheme="majorHAnsi" w:cstheme="majorBidi"/>
    </w:rPr>
  </w:style>
  <w:style w:type="character" w:styleId="1618" w:customStyle="1">
    <w:name w:val="Основной текст с отступом 2 Знак"/>
    <w:basedOn w:val="1611"/>
    <w:link w:val="1673"/>
    <w:uiPriority w:val="99"/>
    <w:qFormat/>
    <w:pPr>
      <w:pBdr/>
      <w:spacing/>
      <w:ind/>
    </w:pPr>
    <w:rPr>
      <w:rFonts w:ascii="Calibri" w:hAnsi="Calibri" w:eastAsia="Times New Roman" w:cs="Times New Roman"/>
    </w:rPr>
  </w:style>
  <w:style w:type="character" w:styleId="1619">
    <w:name w:val="Placeholder Text"/>
    <w:basedOn w:val="1611"/>
    <w:uiPriority w:val="99"/>
    <w:semiHidden/>
    <w:qFormat/>
    <w:pPr>
      <w:pBdr/>
      <w:spacing/>
      <w:ind/>
    </w:pPr>
    <w:rPr>
      <w:color w:val="808080"/>
    </w:rPr>
  </w:style>
  <w:style w:type="character" w:styleId="1620" w:customStyle="1">
    <w:name w:val="Верхний колонтитул Знак"/>
    <w:basedOn w:val="1611"/>
    <w:link w:val="1676"/>
    <w:uiPriority w:val="99"/>
    <w:qFormat/>
    <w:pPr>
      <w:pBdr/>
      <w:spacing/>
      <w:ind/>
    </w:pPr>
  </w:style>
  <w:style w:type="character" w:styleId="1621" w:customStyle="1">
    <w:name w:val="Нижний колонтитул Знак"/>
    <w:basedOn w:val="1611"/>
    <w:link w:val="1677"/>
    <w:uiPriority w:val="99"/>
    <w:qFormat/>
    <w:pPr>
      <w:pBdr/>
      <w:spacing/>
      <w:ind/>
    </w:pPr>
  </w:style>
  <w:style w:type="character" w:styleId="1622">
    <w:name w:val="Hyperlink"/>
    <w:basedOn w:val="16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23" w:customStyle="1">
    <w:name w:val="Название Знак"/>
    <w:basedOn w:val="1611"/>
    <w:link w:val="1681"/>
    <w:uiPriority w:val="99"/>
    <w:qFormat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1624" w:customStyle="1">
    <w:name w:val="Заголовок 2 Знак"/>
    <w:basedOn w:val="1611"/>
    <w:link w:val="1603"/>
    <w:uiPriority w:val="9"/>
    <w:qFormat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1625" w:customStyle="1">
    <w:name w:val="Заголовок 3 Знак"/>
    <w:basedOn w:val="1611"/>
    <w:link w:val="1604"/>
    <w:uiPriority w:val="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626" w:customStyle="1">
    <w:name w:val="Заголовок 4 Знак"/>
    <w:basedOn w:val="1611"/>
    <w:link w:val="1605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627" w:customStyle="1">
    <w:name w:val="Заголовок 6 Знак"/>
    <w:basedOn w:val="1611"/>
    <w:link w:val="1607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1628" w:customStyle="1">
    <w:name w:val="Заголовок 7 Знак"/>
    <w:basedOn w:val="1611"/>
    <w:link w:val="1608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1629" w:customStyle="1">
    <w:name w:val="Заголовок 8 Знак"/>
    <w:basedOn w:val="1611"/>
    <w:link w:val="1609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630" w:customStyle="1">
    <w:name w:val="Заголовок 9 Знак"/>
    <w:basedOn w:val="1611"/>
    <w:link w:val="1610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631" w:customStyle="1">
    <w:name w:val="Текст выноски Знак"/>
    <w:basedOn w:val="1611"/>
    <w:link w:val="1682"/>
    <w:uiPriority w:val="99"/>
    <w:semiHidden/>
    <w:qFormat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character" w:styleId="1632" w:customStyle="1">
    <w:name w:val="Абзац списка Знак"/>
    <w:basedOn w:val="1611"/>
    <w:link w:val="1669"/>
    <w:uiPriority w:val="34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character" w:styleId="1633" w:customStyle="1">
    <w:name w:val="СписокПЗ Знак"/>
    <w:basedOn w:val="1632"/>
    <w:link w:val="1683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character" w:styleId="1634" w:customStyle="1">
    <w:name w:val="Таблица Знак"/>
    <w:basedOn w:val="1632"/>
    <w:link w:val="1684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4"/>
      <w:szCs w:val="24"/>
      <w:lang w:eastAsia="ru-RU"/>
    </w:rPr>
  </w:style>
  <w:style w:type="character" w:styleId="1635">
    <w:name w:val="Strong"/>
    <w:basedOn w:val="1611"/>
    <w:uiPriority w:val="22"/>
    <w:qFormat/>
    <w:pPr>
      <w:pBdr/>
      <w:spacing/>
      <w:ind/>
    </w:pPr>
    <w:rPr>
      <w:b/>
      <w:bCs/>
    </w:rPr>
  </w:style>
  <w:style w:type="character" w:styleId="1636" w:customStyle="1">
    <w:name w:val="Код Знак"/>
    <w:basedOn w:val="1611"/>
    <w:link w:val="1685"/>
    <w:qFormat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1637" w:customStyle="1">
    <w:name w:val="Рисунок Знак"/>
    <w:basedOn w:val="1611"/>
    <w:link w:val="1686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638" w:customStyle="1">
    <w:name w:val="Обычный (веб) Знак"/>
    <w:basedOn w:val="1611"/>
    <w:link w:val="1668"/>
    <w:uiPriority w:val="99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1639" w:customStyle="1">
    <w:name w:val="Литература Знак"/>
    <w:basedOn w:val="1638"/>
    <w:link w:val="1687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1640" w:customStyle="1">
    <w:name w:val="Абзац Знак"/>
    <w:basedOn w:val="1611"/>
    <w:link w:val="168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641">
    <w:name w:val="FollowedHyperlink"/>
    <w:basedOn w:val="16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642" w:customStyle="1">
    <w:name w:val="Основной текст Знак"/>
    <w:basedOn w:val="1611"/>
    <w:link w:val="1664"/>
    <w:uiPriority w:val="9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643" w:customStyle="1">
    <w:name w:val="apple-converted-space"/>
    <w:qFormat/>
    <w:pPr>
      <w:pBdr/>
      <w:spacing/>
      <w:ind/>
    </w:pPr>
  </w:style>
  <w:style w:type="character" w:styleId="1644" w:customStyle="1">
    <w:name w:val="Формула Знак"/>
    <w:basedOn w:val="1611"/>
    <w:link w:val="1690"/>
    <w:qFormat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1645" w:customStyle="1">
    <w:name w:val="Стиль2 Знак"/>
    <w:link w:val="1711"/>
    <w:qFormat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1646" w:customStyle="1">
    <w:name w:val="Font Style17"/>
    <w:qFormat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647" w:customStyle="1">
    <w:name w:val="Заголовок 1 (без номера) Знак"/>
    <w:basedOn w:val="1614"/>
    <w:link w:val="1710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648" w:customStyle="1">
    <w:name w:val="Font Style18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649" w:customStyle="1">
    <w:name w:val="Основной текст с отступом 3 Знак"/>
    <w:basedOn w:val="1611"/>
    <w:link w:val="1694"/>
    <w:uiPriority w:val="99"/>
    <w:semiHidden/>
    <w:qFormat/>
    <w:pPr>
      <w:pBdr/>
      <w:spacing/>
      <w:ind/>
    </w:pPr>
    <w:rPr>
      <w:rFonts w:eastAsiaTheme="minorEastAsia"/>
      <w:sz w:val="16"/>
      <w:szCs w:val="16"/>
      <w:lang w:eastAsia="ru-RU"/>
    </w:rPr>
  </w:style>
  <w:style w:type="character" w:styleId="1650" w:customStyle="1">
    <w:name w:val="Основной текст_"/>
    <w:basedOn w:val="1611"/>
    <w:link w:val="1712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651" w:customStyle="1">
    <w:name w:val="Подпись к таблице_"/>
    <w:basedOn w:val="1611"/>
    <w:link w:val="1696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652" w:customStyle="1">
    <w:name w:val="Основной текст1"/>
    <w:basedOn w:val="1650"/>
    <w:qFormat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1653" w:customStyle="1">
    <w:name w:val="Основной текст с отступом Знак"/>
    <w:basedOn w:val="1611"/>
    <w:link w:val="1698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654">
    <w:name w:val="Emphasis"/>
    <w:uiPriority w:val="20"/>
    <w:qFormat/>
    <w:pPr>
      <w:pBdr/>
      <w:spacing/>
      <w:ind/>
    </w:pPr>
    <w:rPr>
      <w:i/>
      <w:iCs/>
    </w:rPr>
  </w:style>
  <w:style w:type="character" w:styleId="1655" w:customStyle="1">
    <w:name w:val="Рис Знак"/>
    <w:basedOn w:val="1611"/>
    <w:link w:val="1700"/>
    <w:qFormat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character" w:styleId="1656" w:customStyle="1">
    <w:name w:val="Формулы Знак"/>
    <w:basedOn w:val="1611"/>
    <w:link w:val="1702"/>
    <w:qFormat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1657" w:customStyle="1">
    <w:name w:val="Основной текст 2 Знак"/>
    <w:basedOn w:val="1611"/>
    <w:link w:val="1703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658" w:customStyle="1">
    <w:name w:val="spelle"/>
    <w:basedOn w:val="1611"/>
    <w:qFormat/>
    <w:pPr>
      <w:pBdr/>
      <w:spacing/>
      <w:ind/>
    </w:pPr>
  </w:style>
  <w:style w:type="character" w:styleId="1659" w:customStyle="1">
    <w:name w:val="grame"/>
    <w:basedOn w:val="1611"/>
    <w:qFormat/>
    <w:pPr>
      <w:pBdr/>
      <w:spacing/>
      <w:ind/>
    </w:pPr>
  </w:style>
  <w:style w:type="character" w:styleId="1660" w:customStyle="1">
    <w:name w:val="Сам текст Знак"/>
    <w:link w:val="1704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661" w:customStyle="1">
    <w:name w:val="ГОСТ_character"/>
    <w:link w:val="1705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character" w:styleId="1662" w:customStyle="1">
    <w:name w:val="Символ нумерации"/>
    <w:qFormat/>
    <w:pPr>
      <w:pBdr/>
      <w:spacing/>
      <w:ind/>
    </w:pPr>
  </w:style>
  <w:style w:type="paragraph" w:styleId="1663" w:customStyle="1">
    <w:name w:val="Заголовок"/>
    <w:basedOn w:val="1601"/>
    <w:next w:val="1664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</w:rPr>
  </w:style>
  <w:style w:type="paragraph" w:styleId="1664">
    <w:name w:val="Body Text"/>
    <w:basedOn w:val="1601"/>
    <w:link w:val="1642"/>
    <w:uiPriority w:val="99"/>
    <w:unhideWhenUsed/>
    <w:pPr>
      <w:pBdr/>
      <w:spacing w:after="120"/>
      <w:ind/>
    </w:pPr>
  </w:style>
  <w:style w:type="paragraph" w:styleId="1665">
    <w:name w:val="List"/>
    <w:basedOn w:val="1664"/>
    <w:pPr>
      <w:pBdr/>
      <w:spacing/>
      <w:ind/>
    </w:pPr>
    <w:rPr>
      <w:rFonts w:cs="Arial"/>
    </w:rPr>
  </w:style>
  <w:style w:type="paragraph" w:styleId="1666">
    <w:name w:val="Caption"/>
    <w:basedOn w:val="1601"/>
    <w:next w:val="1601"/>
    <w:uiPriority w:val="35"/>
    <w:unhideWhenUsed/>
    <w:qFormat/>
    <w:pPr>
      <w:pBdr/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styleId="1667">
    <w:name w:val="index heading"/>
    <w:basedOn w:val="1663"/>
    <w:pPr>
      <w:pBdr/>
      <w:spacing/>
      <w:ind/>
    </w:pPr>
  </w:style>
  <w:style w:type="paragraph" w:styleId="1668">
    <w:name w:val="Normal (Web)"/>
    <w:basedOn w:val="1601"/>
    <w:link w:val="1638"/>
    <w:uiPriority w:val="99"/>
    <w:unhideWhenUsed/>
    <w:qFormat/>
    <w:pPr>
      <w:pBdr/>
      <w:spacing w:afterAutospacing="1" w:beforeAutospacing="1"/>
      <w:ind/>
    </w:pPr>
    <w:rPr>
      <w:rFonts w:eastAsia="Times New Roman"/>
      <w:sz w:val="24"/>
      <w:szCs w:val="24"/>
    </w:rPr>
  </w:style>
  <w:style w:type="paragraph" w:styleId="1669">
    <w:name w:val="List Paragraph"/>
    <w:basedOn w:val="1601"/>
    <w:link w:val="1632"/>
    <w:uiPriority w:val="34"/>
    <w:qFormat/>
    <w:pPr>
      <w:pBdr/>
      <w:tabs>
        <w:tab w:val="num" w:leader="none" w:pos="0"/>
        <w:tab w:val="left" w:leader="none" w:pos="993"/>
      </w:tabs>
      <w:spacing/>
      <w:ind w:hanging="360" w:left="1069"/>
      <w:contextualSpacing w:val="true"/>
    </w:pPr>
  </w:style>
  <w:style w:type="paragraph" w:styleId="1670">
    <w:name w:val="No Spacing"/>
    <w:basedOn w:val="1601"/>
    <w:link w:val="1617"/>
    <w:uiPriority w:val="1"/>
    <w:qFormat/>
    <w:pPr>
      <w:pBdr/>
      <w:spacing w:afterAutospacing="1"/>
      <w:ind/>
    </w:pPr>
    <w:rPr>
      <w:rFonts w:asciiTheme="majorHAnsi" w:hAnsiTheme="majorHAnsi" w:cstheme="majorBidi"/>
    </w:rPr>
  </w:style>
  <w:style w:type="paragraph" w:styleId="1671">
    <w:name w:val="HTML Preformatted"/>
    <w:basedOn w:val="1601"/>
    <w:link w:val="1616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672" w:customStyle="1">
    <w:name w:val="Текст1"/>
    <w:basedOn w:val="1601"/>
    <w:qFormat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1673">
    <w:name w:val="Body Text Indent 2"/>
    <w:basedOn w:val="1601"/>
    <w:link w:val="1618"/>
    <w:uiPriority w:val="99"/>
    <w:unhideWhenUsed/>
    <w:qFormat/>
    <w:pPr>
      <w:pBdr/>
      <w:spacing w:after="120" w:line="480" w:lineRule="auto"/>
      <w:ind w:left="283"/>
    </w:pPr>
    <w:rPr>
      <w:rFonts w:ascii="Calibri" w:hAnsi="Calibri" w:eastAsia="Times New Roman"/>
    </w:rPr>
  </w:style>
  <w:style w:type="paragraph" w:styleId="1674" w:customStyle="1">
    <w:name w:val="Default"/>
    <w:qFormat/>
    <w:pPr>
      <w:pBdr/>
      <w:spacing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1675" w:customStyle="1">
    <w:name w:val="Колонтитул"/>
    <w:basedOn w:val="1601"/>
    <w:qFormat/>
    <w:pPr>
      <w:pBdr/>
      <w:spacing/>
      <w:ind/>
    </w:pPr>
  </w:style>
  <w:style w:type="paragraph" w:styleId="1676">
    <w:name w:val="Header"/>
    <w:basedOn w:val="1601"/>
    <w:link w:val="162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677">
    <w:name w:val="Footer"/>
    <w:basedOn w:val="1601"/>
    <w:link w:val="162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678">
    <w:name w:val="TOC Heading"/>
    <w:basedOn w:val="1602"/>
    <w:next w:val="1601"/>
    <w:uiPriority w:val="39"/>
    <w:unhideWhenUsed/>
    <w:qFormat/>
    <w:pPr>
      <w:numPr>
        <w:ilvl w:val="0"/>
        <w:numId w:val="0"/>
      </w:numPr>
      <w:pBdr/>
      <w:spacing/>
      <w:ind w:firstLine="709"/>
      <w:outlineLvl w:val="9"/>
    </w:pPr>
  </w:style>
  <w:style w:type="paragraph" w:styleId="1679">
    <w:name w:val="toc 1"/>
    <w:basedOn w:val="1601"/>
    <w:next w:val="1601"/>
    <w:uiPriority w:val="39"/>
    <w:unhideWhenUsed/>
    <w:pPr>
      <w:pBdr/>
      <w:tabs>
        <w:tab w:val="left" w:leader="none" w:pos="1134"/>
        <w:tab w:val="right" w:leader="dot" w:pos="9628"/>
      </w:tabs>
      <w:spacing/>
      <w:ind/>
    </w:pPr>
    <w:rPr>
      <w:color w:val="auto"/>
    </w:rPr>
  </w:style>
  <w:style w:type="paragraph" w:styleId="1680">
    <w:name w:val="toc 2"/>
    <w:basedOn w:val="1601"/>
    <w:next w:val="1601"/>
    <w:uiPriority w:val="39"/>
    <w:unhideWhenUsed/>
    <w:pPr>
      <w:pBdr/>
      <w:tabs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paragraph" w:styleId="1681">
    <w:name w:val="Title"/>
    <w:basedOn w:val="1601"/>
    <w:next w:val="1601"/>
    <w:link w:val="1623"/>
    <w:uiPriority w:val="99"/>
    <w:qFormat/>
    <w:pPr>
      <w:pBdr>
        <w:bottom w:val="single" w:color="5b9bd5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1682">
    <w:name w:val="Balloon Text"/>
    <w:basedOn w:val="1601"/>
    <w:link w:val="1631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683" w:customStyle="1">
    <w:name w:val="СписокПЗ"/>
    <w:basedOn w:val="1669"/>
    <w:link w:val="1633"/>
    <w:qFormat/>
    <w:pPr>
      <w:pBdr/>
      <w:spacing/>
      <w:ind w:firstLine="709" w:left="0"/>
      <w:contextualSpacing w:val="false"/>
    </w:pPr>
  </w:style>
  <w:style w:type="paragraph" w:styleId="1684" w:customStyle="1">
    <w:name w:val="Таблица"/>
    <w:basedOn w:val="1669"/>
    <w:link w:val="1634"/>
    <w:qFormat/>
    <w:pPr>
      <w:pBdr/>
      <w:tabs>
        <w:tab w:val="clear" w:leader="none" w:pos="0"/>
        <w:tab w:val="clear" w:leader="none" w:pos="993"/>
      </w:tabs>
      <w:spacing w:line="276" w:lineRule="auto"/>
      <w:ind w:firstLine="709" w:left="0"/>
      <w:jc w:val="left"/>
    </w:pPr>
    <w:rPr>
      <w:sz w:val="24"/>
      <w:szCs w:val="24"/>
    </w:rPr>
  </w:style>
  <w:style w:type="paragraph" w:styleId="1685" w:customStyle="1">
    <w:name w:val="Код"/>
    <w:basedOn w:val="1601"/>
    <w:link w:val="1636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1686" w:customStyle="1">
    <w:name w:val="Перечень рисунков1"/>
    <w:basedOn w:val="1601"/>
    <w:link w:val="1637"/>
    <w:qFormat/>
    <w:pPr>
      <w:pBdr/>
      <w:spacing/>
      <w:ind w:firstLine="0"/>
      <w:jc w:val="center"/>
    </w:pPr>
  </w:style>
  <w:style w:type="paragraph" w:styleId="1687" w:customStyle="1">
    <w:name w:val="Литература"/>
    <w:basedOn w:val="1668"/>
    <w:link w:val="1639"/>
    <w:qFormat/>
    <w:pPr>
      <w:pBdr/>
      <w:tabs>
        <w:tab w:val="num" w:leader="none" w:pos="0"/>
        <w:tab w:val="left" w:leader="none" w:pos="1134"/>
      </w:tabs>
      <w:spacing w:afterAutospacing="0" w:beforeAutospacing="0"/>
      <w:ind/>
    </w:pPr>
    <w:rPr>
      <w:sz w:val="28"/>
      <w:szCs w:val="28"/>
    </w:rPr>
  </w:style>
  <w:style w:type="paragraph" w:styleId="1688">
    <w:name w:val="toc 3"/>
    <w:basedOn w:val="1601"/>
    <w:next w:val="1601"/>
    <w:uiPriority w:val="39"/>
    <w:unhideWhenUsed/>
    <w:pPr>
      <w:pBdr/>
      <w:tabs>
        <w:tab w:val="left" w:leader="none" w:pos="1418"/>
        <w:tab w:val="right" w:leader="dot" w:pos="9639"/>
      </w:tabs>
      <w:spacing/>
      <w:ind w:right="140"/>
    </w:pPr>
  </w:style>
  <w:style w:type="paragraph" w:styleId="1689" w:customStyle="1">
    <w:name w:val="Абзац"/>
    <w:basedOn w:val="1601"/>
    <w:link w:val="1640"/>
    <w:qFormat/>
    <w:pPr>
      <w:pBdr/>
      <w:spacing w:line="300" w:lineRule="auto"/>
      <w:ind/>
    </w:pPr>
    <w:rPr>
      <w:color w:val="auto"/>
      <w:sz w:val="24"/>
      <w:szCs w:val="24"/>
    </w:rPr>
  </w:style>
  <w:style w:type="paragraph" w:styleId="1690" w:customStyle="1">
    <w:name w:val="Формула"/>
    <w:basedOn w:val="1601"/>
    <w:link w:val="1644"/>
    <w:qFormat/>
    <w:pPr>
      <w:pBdr/>
      <w:spacing/>
      <w:ind/>
      <w:jc w:val="right"/>
    </w:pPr>
    <w:rPr>
      <w:i/>
    </w:rPr>
  </w:style>
  <w:style w:type="paragraph" w:styleId="1691" w:customStyle="1">
    <w:name w:val="Стиль2"/>
    <w:basedOn w:val="1601"/>
    <w:qFormat/>
    <w:pPr>
      <w:pBdr/>
      <w:tabs>
        <w:tab w:val="right" w:leader="dot" w:pos="9498"/>
      </w:tabs>
      <w:spacing/>
      <w:ind w:firstLine="0"/>
    </w:pPr>
    <w:rPr>
      <w:color w:val="auto"/>
    </w:rPr>
  </w:style>
  <w:style w:type="paragraph" w:styleId="1692" w:customStyle="1">
    <w:name w:val="Заголовок 1 (без номера)"/>
    <w:basedOn w:val="1602"/>
    <w:qFormat/>
    <w:pPr>
      <w:numPr>
        <w:ilvl w:val="0"/>
        <w:numId w:val="0"/>
      </w:numPr>
      <w:pBdr/>
      <w:spacing/>
      <w:ind w:firstLine="709"/>
    </w:pPr>
  </w:style>
  <w:style w:type="paragraph" w:styleId="1693" w:customStyle="1">
    <w:name w:val="Style3"/>
    <w:basedOn w:val="1601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1694">
    <w:name w:val="Body Text Indent 3"/>
    <w:basedOn w:val="1601"/>
    <w:link w:val="1649"/>
    <w:uiPriority w:val="99"/>
    <w:semiHidden/>
    <w:unhideWhenUsed/>
    <w:qFormat/>
    <w:pPr>
      <w:pBdr/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paragraph" w:styleId="1695" w:customStyle="1">
    <w:name w:val="Основной текст4"/>
    <w:basedOn w:val="1601"/>
    <w:qFormat/>
    <w:pPr>
      <w:widowControl w:val="false"/>
      <w:pBdr/>
      <w:shd w:val="clear" w:color="auto" w:fill="ffffff"/>
      <w:spacing w:line="322" w:lineRule="exact"/>
      <w:ind w:hanging="3020"/>
    </w:pPr>
    <w:rPr>
      <w:rFonts w:eastAsia="Times New Roman"/>
      <w:color w:val="auto"/>
      <w:sz w:val="26"/>
      <w:szCs w:val="26"/>
    </w:rPr>
  </w:style>
  <w:style w:type="paragraph" w:styleId="1696" w:customStyle="1">
    <w:name w:val="Подпись к таблице"/>
    <w:basedOn w:val="1601"/>
    <w:link w:val="1651"/>
    <w:qFormat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1697" w:customStyle="1">
    <w:name w:val="Чертежный"/>
    <w:qFormat/>
    <w:pPr>
      <w:pBdr/>
      <w:spacing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698">
    <w:name w:val="Body Text Indent"/>
    <w:basedOn w:val="1601"/>
    <w:link w:val="1653"/>
    <w:uiPriority w:val="99"/>
    <w:semiHidden/>
    <w:unhideWhenUsed/>
    <w:pPr>
      <w:pBdr/>
      <w:spacing w:after="120"/>
      <w:ind w:left="283"/>
    </w:pPr>
  </w:style>
  <w:style w:type="paragraph" w:styleId="1699" w:customStyle="1">
    <w:name w:val="Ii?i. n e?. no?ieie"/>
    <w:basedOn w:val="1601"/>
    <w:qFormat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1700" w:customStyle="1">
    <w:name w:val="Рис"/>
    <w:basedOn w:val="1666"/>
    <w:link w:val="1655"/>
    <w:qFormat/>
    <w:pPr>
      <w:pBdr/>
      <w:spacing/>
      <w:ind/>
    </w:pPr>
    <w:rPr>
      <w:b/>
      <w:i/>
    </w:rPr>
  </w:style>
  <w:style w:type="paragraph" w:styleId="1701">
    <w:name w:val="table of figures"/>
    <w:basedOn w:val="1601"/>
    <w:next w:val="1601"/>
    <w:uiPriority w:val="99"/>
    <w:unhideWhenUsed/>
    <w:qFormat/>
    <w:pPr>
      <w:pBdr/>
      <w:spacing/>
      <w:ind/>
    </w:pPr>
  </w:style>
  <w:style w:type="paragraph" w:styleId="1702" w:customStyle="1">
    <w:name w:val="Формулы"/>
    <w:basedOn w:val="1601"/>
    <w:link w:val="1656"/>
    <w:qFormat/>
    <w:pPr>
      <w:pBdr/>
      <w:spacing w:line="276" w:lineRule="auto"/>
      <w:ind w:firstLine="0"/>
      <w:jc w:val="center"/>
    </w:pPr>
    <w:rPr>
      <w:color w:val="000000"/>
    </w:rPr>
  </w:style>
  <w:style w:type="paragraph" w:styleId="1703">
    <w:name w:val="Body Text 2"/>
    <w:basedOn w:val="1601"/>
    <w:link w:val="1657"/>
    <w:uiPriority w:val="99"/>
    <w:semiHidden/>
    <w:unhideWhenUsed/>
    <w:qFormat/>
    <w:pPr>
      <w:pBdr/>
      <w:spacing w:after="120" w:line="480" w:lineRule="auto"/>
      <w:ind/>
    </w:pPr>
  </w:style>
  <w:style w:type="paragraph" w:styleId="1704" w:customStyle="1">
    <w:name w:val="Сам текст"/>
    <w:basedOn w:val="1601"/>
    <w:link w:val="1660"/>
    <w:qFormat/>
    <w:pPr>
      <w:pBdr/>
      <w:spacing w:line="264" w:lineRule="auto"/>
      <w:ind/>
    </w:pPr>
    <w:rPr>
      <w:rFonts w:eastAsia="Times New Roman"/>
      <w:color w:val="000000"/>
    </w:rPr>
  </w:style>
  <w:style w:type="paragraph" w:styleId="1705" w:customStyle="1">
    <w:name w:val="ГОСТ"/>
    <w:basedOn w:val="1601"/>
    <w:next w:val="1601"/>
    <w:link w:val="1661"/>
    <w:qFormat/>
    <w:pPr>
      <w:pBdr/>
      <w:spacing w:after="200"/>
      <w:ind w:firstLine="708"/>
      <w:contextualSpacing w:val="true"/>
    </w:pPr>
    <w:rPr>
      <w:color w:val="auto"/>
      <w:lang w:eastAsia="en-US"/>
    </w:rPr>
  </w:style>
  <w:style w:type="paragraph" w:styleId="1706" w:customStyle="1">
    <w:name w:val="Содержимое врезки"/>
    <w:basedOn w:val="1601"/>
    <w:qFormat/>
    <w:pPr>
      <w:pBdr/>
      <w:spacing/>
      <w:ind/>
    </w:pPr>
  </w:style>
  <w:style w:type="table" w:styleId="1707">
    <w:name w:val="Table Grid"/>
    <w:basedOn w:val="1612"/>
    <w:uiPriority w:val="59"/>
    <w:qFormat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Сетка таблицы1"/>
    <w:basedOn w:val="1612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Сетка таблицы3"/>
    <w:basedOn w:val="1612"/>
    <w:uiPriority w:val="59"/>
    <w:pPr>
      <w:pBdr/>
      <w:spacing/>
      <w:ind/>
    </w:pPr>
    <w:rPr>
      <w:rFonts w:eastAsiaTheme="minorEastAsia"/>
      <w:sz w:val="28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Стиль таблицы1"/>
    <w:link w:val="1647"/>
    <w:uiPriority w:val="99"/>
    <w:pPr>
      <w:pBdr/>
      <w:spacing w:line="36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Сетка таблицы2"/>
    <w:basedOn w:val="1612"/>
    <w:link w:val="1645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Сетка таблицы4"/>
    <w:basedOn w:val="1612"/>
    <w:link w:val="1650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Сетка таблицы11"/>
    <w:basedOn w:val="1612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Заголовок 5 Знак1"/>
    <w:basedOn w:val="1612"/>
    <w:link w:val="1606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Сетка таблицы светлая1"/>
    <w:basedOn w:val="1612"/>
    <w:uiPriority w:val="40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en-US"/>
    </w:rPr>
    <w:tblPr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968B5-D0D6-4372-B2E5-9E698CBF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dc:language>en-US</dc:language>
  <cp:revision>8</cp:revision>
  <dcterms:created xsi:type="dcterms:W3CDTF">2024-01-09T14:48:00Z</dcterms:created>
  <dcterms:modified xsi:type="dcterms:W3CDTF">2024-01-11T12:04:51Z</dcterms:modified>
</cp:coreProperties>
</file>