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tkhbnfaoszso" w:id="0"/>
      <w:bookmarkEnd w:id="0"/>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HEARsay Mysteries</w:t>
      </w:r>
      <w:r w:rsidDel="00000000" w:rsidR="00000000" w:rsidRPr="00000000">
        <w:rPr>
          <w:rtl w:val="0"/>
        </w:rPr>
      </w:r>
    </w:p>
    <w:p w:rsidR="00000000" w:rsidDel="00000000" w:rsidP="00000000" w:rsidRDefault="00000000" w:rsidRPr="00000000" w14:paraId="00000002">
      <w:pPr>
        <w:pStyle w:val="Title"/>
        <w:jc w:val="center"/>
        <w:rPr/>
      </w:pPr>
      <w:bookmarkStart w:colFirst="0" w:colLast="0" w:name="_ik0ajinzayw4" w:id="1"/>
      <w:bookmarkEnd w:id="1"/>
      <w:r w:rsidDel="00000000" w:rsidR="00000000" w:rsidRPr="00000000">
        <w:rPr>
          <w:rtl w:val="0"/>
        </w:rPr>
        <w:t xml:space="preserve">HEARsay Mysteries</w:t>
      </w:r>
    </w:p>
    <w:p w:rsidR="00000000" w:rsidDel="00000000" w:rsidP="00000000" w:rsidRDefault="00000000" w:rsidRPr="00000000" w14:paraId="00000003">
      <w:pPr>
        <w:pStyle w:val="Subtitle"/>
        <w:rPr/>
      </w:pPr>
      <w:bookmarkStart w:colFirst="0" w:colLast="0" w:name="_rjfdtmwzzd07" w:id="2"/>
      <w:bookmarkEnd w:id="2"/>
      <w:r w:rsidDel="00000000" w:rsidR="00000000" w:rsidRPr="00000000">
        <w:rPr>
          <w:rtl w:val="0"/>
        </w:rPr>
        <w:t xml:space="preserve">A mystery game framework for teaching and practicing the HEAR framework</w:t>
      </w:r>
    </w:p>
    <w:p w:rsidR="00000000" w:rsidDel="00000000" w:rsidP="00000000" w:rsidRDefault="00000000" w:rsidRPr="00000000" w14:paraId="00000004">
      <w:pPr>
        <w:pStyle w:val="Subtitle"/>
        <w:rPr>
          <w:sz w:val="20"/>
          <w:szCs w:val="20"/>
        </w:rPr>
      </w:pPr>
      <w:bookmarkStart w:colFirst="0" w:colLast="0" w:name="_dhe0haaxgpbf" w:id="3"/>
      <w:bookmarkEnd w:id="3"/>
      <w:r w:rsidDel="00000000" w:rsidR="00000000" w:rsidRPr="00000000">
        <w:rPr>
          <w:sz w:val="20"/>
          <w:szCs w:val="20"/>
          <w:rtl w:val="0"/>
        </w:rPr>
        <w:t xml:space="preserve">Tomer J. Perry</w:t>
      </w:r>
    </w:p>
    <w:p w:rsidR="00000000" w:rsidDel="00000000" w:rsidP="00000000" w:rsidRDefault="00000000" w:rsidRPr="00000000" w14:paraId="00000005">
      <w:pPr>
        <w:rPr/>
      </w:pPr>
      <w:r w:rsidDel="00000000" w:rsidR="00000000" w:rsidRPr="00000000">
        <w:rPr/>
        <mc:AlternateContent>
          <mc:Choice Requires="wpg">
            <w:drawing>
              <wp:inline distB="114300" distT="114300" distL="114300" distR="114300">
                <wp:extent cx="6510258" cy="892601"/>
                <wp:effectExtent b="0" l="0" r="0" t="0"/>
                <wp:docPr id="1" name=""/>
                <a:graphic>
                  <a:graphicData uri="http://schemas.microsoft.com/office/word/2010/wordprocessingShape">
                    <wps:wsp>
                      <wps:cNvSpPr txBox="1"/>
                      <wps:cNvPr id="2" name="Shape 2"/>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rPr/>
      </w:pPr>
      <w:r w:rsidDel="00000000" w:rsidR="00000000" w:rsidRPr="00000000">
        <w:rPr/>
        <mc:AlternateContent>
          <mc:Choice Requires="wpg">
            <w:drawing>
              <wp:inline distB="114300" distT="114300" distL="114300" distR="114300">
                <wp:extent cx="6505575" cy="1114744"/>
                <wp:effectExtent b="0" l="0" r="0" t="0"/>
                <wp:docPr id="2" name=""/>
                <a:graphic>
                  <a:graphicData uri="http://schemas.microsoft.com/office/word/2010/wordprocessingShape">
                    <wps:wsp>
                      <wps:cNvSpPr txBox="1"/>
                      <wps:cNvPr id="3" name="Shape 3"/>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7">
      <w:pPr>
        <w:pStyle w:val="Heading1"/>
        <w:rPr/>
      </w:pPr>
      <w:bookmarkStart w:colFirst="0" w:colLast="0" w:name="_91ezqgojjt8o" w:id="4"/>
      <w:bookmarkEnd w:id="4"/>
      <w:r w:rsidDel="00000000" w:rsidR="00000000" w:rsidRPr="00000000">
        <w:rPr>
          <w:rtl w:val="0"/>
        </w:rPr>
        <w:t xml:space="preserve">1. What is a HEARsay mystery? </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HEARsay is a series of mystery games designed to help students learn and practice </w:t>
      </w:r>
      <w:r w:rsidDel="00000000" w:rsidR="00000000" w:rsidRPr="00000000">
        <w:rPr>
          <w:i w:val="1"/>
          <w:iCs w:val="1"/>
          <w:rtl w:val="0"/>
        </w:rPr>
        <w:t xml:space="preserve">conversational receptiveness</w:t>
      </w:r>
      <w:r w:rsidDel="00000000" w:rsidR="00000000" w:rsidRPr="00000000">
        <w:rPr>
          <w:i w:val="1"/>
          <w:iCs w:val="1"/>
          <w:vertAlign w:val="superscript"/>
        </w:rPr>
        <w:footnoteReference w:customMarkFollows="0" w:id="0"/>
      </w:r>
      <w:r w:rsidDel="00000000" w:rsidR="00000000" w:rsidRPr="00000000">
        <w:rPr>
          <w:rtl w:val="0"/>
        </w:rPr>
        <w:t xml:space="preserve">- “the use of language to communicate one’s willingness to thoughtfully engage with opposing views.”</w:t>
      </w:r>
      <w:r w:rsidDel="00000000" w:rsidR="00000000" w:rsidRPr="00000000">
        <w:rPr>
          <w:vertAlign w:val="superscript"/>
        </w:rPr>
        <w:footnoteReference w:customMarkFollows="0" w:id="1"/>
      </w:r>
      <w:r w:rsidDel="00000000" w:rsidR="00000000" w:rsidRPr="00000000">
        <w:rPr>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9">
      <w:pPr>
        <w:rPr/>
      </w:pPr>
      <w:r w:rsidDel="00000000" w:rsidR="00000000" w:rsidRPr="00000000">
        <w:rPr>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i w:val="1"/>
          <w:iCs w:val="1"/>
          <w:rtl w:val="0"/>
        </w:rPr>
        <w:t xml:space="preserve">The Commons’ Comma</w:t>
      </w:r>
      <w:r w:rsidDel="00000000" w:rsidR="00000000" w:rsidRPr="00000000">
        <w:rPr>
          <w:rtl w:val="0"/>
        </w:rPr>
        <w:t xml:space="preserve">, is included in an accompanying folder and describes a scenario based on a university campus, which I will treat here as the default backdrop for HEARsay mysteries.</w:t>
      </w:r>
      <w:r w:rsidDel="00000000" w:rsidR="00000000" w:rsidRPr="00000000">
        <w:rPr>
          <w:vertAlign w:val="superscript"/>
        </w:rPr>
        <w:footnoteReference w:customMarkFollows="0" w:id="2"/>
      </w: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Each scenario </w:t>
      </w:r>
      <w:r w:rsidDel="00000000" w:rsidR="00000000" w:rsidRPr="00000000">
        <w:rPr>
          <w:rtl w:val="0"/>
        </w:rPr>
        <w:t xml:space="preserve">is comprised</w:t>
      </w:r>
      <w:r w:rsidDel="00000000" w:rsidR="00000000" w:rsidRPr="00000000">
        <w:rPr>
          <w:rtl w:val="0"/>
        </w:rPr>
        <w:t xml:space="preserve"> of (a) a</w:t>
      </w:r>
      <w:r w:rsidDel="00000000" w:rsidR="00000000" w:rsidRPr="00000000">
        <w:rPr>
          <w:rtl w:val="0"/>
        </w:rPr>
        <w:t xml:space="preserve"> puzzle the players have to solve and (b) a controversy that’s unfolding in the background, which I will call the Current Campus Controversy (CCC</w:t>
      </w:r>
      <w:r w:rsidDel="00000000" w:rsidR="00000000" w:rsidRPr="00000000">
        <w:rPr>
          <w:vertAlign w:val="superscript"/>
          <w:rtl w:val="0"/>
        </w:rPr>
        <w:t xml:space="preserve">©</w:t>
      </w:r>
      <w:r w:rsidDel="00000000" w:rsidR="00000000" w:rsidRPr="00000000">
        <w:rPr>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B">
      <w:pPr>
        <w:numPr>
          <w:ilvl w:val="0"/>
          <w:numId w:val="7"/>
        </w:numPr>
        <w:spacing w:after="0" w:afterAutospacing="0"/>
        <w:ind w:left="720" w:hanging="360"/>
      </w:pPr>
      <w:r w:rsidDel="00000000" w:rsidR="00000000" w:rsidRPr="00000000">
        <w:rPr>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C">
      <w:pPr>
        <w:numPr>
          <w:ilvl w:val="0"/>
          <w:numId w:val="7"/>
        </w:numPr>
        <w:spacing w:after="0" w:afterAutospacing="0" w:before="0" w:beforeAutospacing="0"/>
        <w:ind w:left="720" w:hanging="360"/>
      </w:pPr>
      <w:r w:rsidDel="00000000" w:rsidR="00000000" w:rsidRPr="00000000">
        <w:rPr>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D">
      <w:pPr>
        <w:numPr>
          <w:ilvl w:val="0"/>
          <w:numId w:val="7"/>
        </w:numPr>
        <w:spacing w:before="0" w:beforeAutospacing="0"/>
        <w:ind w:left="720" w:hanging="360"/>
      </w:pPr>
      <w:r w:rsidDel="00000000" w:rsidR="00000000" w:rsidRPr="00000000">
        <w:rPr>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E">
      <w:pPr>
        <w:pStyle w:val="Heading1"/>
        <w:rPr/>
      </w:pPr>
      <w:bookmarkStart w:colFirst="0" w:colLast="0" w:name="_724y3rmj63y4" w:id="5"/>
      <w:bookmarkEnd w:id="5"/>
      <w:r w:rsidDel="00000000" w:rsidR="00000000" w:rsidRPr="00000000">
        <w:rPr>
          <w:rtl w:val="0"/>
        </w:rPr>
        <w:t xml:space="preserve">2. The HEAR Framework </w:t>
      </w:r>
    </w:p>
    <w:p w:rsidR="00000000" w:rsidDel="00000000" w:rsidP="00000000" w:rsidRDefault="00000000" w:rsidRPr="00000000" w14:paraId="0000000F">
      <w:pPr>
        <w:spacing w:after="200" w:lineRule="auto"/>
        <w:rPr/>
      </w:pPr>
      <w:r w:rsidDel="00000000" w:rsidR="00000000" w:rsidRPr="00000000">
        <w:rPr>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10">
            <w:pPr>
              <w:spacing w:before="0" w:line="240" w:lineRule="auto"/>
              <w:rPr>
                <w:sz w:val="32"/>
                <w:szCs w:val="32"/>
              </w:rPr>
            </w:pPr>
            <w:r w:rsidDel="00000000" w:rsidR="00000000" w:rsidRPr="00000000">
              <w:rPr>
                <w:sz w:val="32"/>
                <w:szCs w:val="32"/>
                <w:rtl w:val="0"/>
              </w:rPr>
              <w:t xml:space="preserve">Letter</w:t>
            </w:r>
          </w:p>
        </w:tc>
        <w:tc>
          <w:tcPr>
            <w:shd w:fill="d9d9d9" w:val="clear"/>
          </w:tcPr>
          <w:p w:rsidR="00000000" w:rsidDel="00000000" w:rsidP="00000000" w:rsidRDefault="00000000" w:rsidRPr="00000000" w14:paraId="00000011">
            <w:pPr>
              <w:spacing w:before="0" w:line="240" w:lineRule="auto"/>
              <w:rPr>
                <w:sz w:val="32"/>
                <w:szCs w:val="32"/>
              </w:rPr>
            </w:pPr>
            <w:r w:rsidDel="00000000" w:rsidR="00000000" w:rsidRPr="00000000">
              <w:rPr>
                <w:sz w:val="32"/>
                <w:szCs w:val="32"/>
                <w:rtl w:val="0"/>
              </w:rPr>
              <w:t xml:space="preserve">Move</w:t>
            </w:r>
          </w:p>
        </w:tc>
        <w:tc>
          <w:tcPr>
            <w:shd w:fill="d9d9d9" w:val="clear"/>
          </w:tcPr>
          <w:p w:rsidR="00000000" w:rsidDel="00000000" w:rsidP="00000000" w:rsidRDefault="00000000" w:rsidRPr="00000000" w14:paraId="00000012">
            <w:pPr>
              <w:spacing w:before="0" w:line="240" w:lineRule="auto"/>
              <w:rPr>
                <w:sz w:val="32"/>
                <w:szCs w:val="32"/>
              </w:rPr>
            </w:pPr>
            <w:r w:rsidDel="00000000" w:rsidR="00000000" w:rsidRPr="00000000">
              <w:rPr>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3">
            <w:pPr>
              <w:spacing w:before="0" w:line="240" w:lineRule="auto"/>
              <w:rPr>
                <w:b w:val="1"/>
                <w:bCs w:val="1"/>
              </w:rPr>
            </w:pPr>
            <w:r w:rsidDel="00000000" w:rsidR="00000000" w:rsidRPr="00000000">
              <w:rPr>
                <w:b w:val="1"/>
                <w:bCs w:val="1"/>
                <w:rtl w:val="0"/>
              </w:rPr>
              <w:t xml:space="preserve">H</w:t>
            </w:r>
          </w:p>
        </w:tc>
        <w:tc>
          <w:tcPr/>
          <w:p w:rsidR="00000000" w:rsidDel="00000000" w:rsidP="00000000" w:rsidRDefault="00000000" w:rsidRPr="00000000" w14:paraId="00000014">
            <w:pPr>
              <w:spacing w:before="0" w:line="240" w:lineRule="auto"/>
              <w:rPr/>
            </w:pPr>
            <w:r w:rsidDel="00000000" w:rsidR="00000000" w:rsidRPr="00000000">
              <w:rPr>
                <w:b w:val="1"/>
                <w:bCs w:val="1"/>
                <w:rtl w:val="0"/>
              </w:rPr>
              <w:t xml:space="preserve">Hedge</w:t>
            </w:r>
            <w:r w:rsidDel="00000000" w:rsidR="00000000" w:rsidRPr="00000000">
              <w:rPr>
                <w:rtl w:val="0"/>
              </w:rPr>
              <w:t xml:space="preserve"> your claims</w:t>
            </w:r>
          </w:p>
        </w:tc>
        <w:tc>
          <w:tcPr/>
          <w:p w:rsidR="00000000" w:rsidDel="00000000" w:rsidP="00000000" w:rsidRDefault="00000000" w:rsidRPr="00000000" w14:paraId="00000015">
            <w:pPr>
              <w:spacing w:before="0" w:line="240" w:lineRule="auto"/>
              <w:rPr/>
            </w:pPr>
            <w:r w:rsidDel="00000000" w:rsidR="00000000" w:rsidRPr="00000000">
              <w:rPr>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6">
            <w:pPr>
              <w:spacing w:before="0" w:line="240" w:lineRule="auto"/>
              <w:rPr>
                <w:b w:val="1"/>
                <w:bCs w:val="1"/>
              </w:rPr>
            </w:pPr>
            <w:r w:rsidDel="00000000" w:rsidR="00000000" w:rsidRPr="00000000">
              <w:rPr>
                <w:b w:val="1"/>
                <w:bCs w:val="1"/>
                <w:rtl w:val="0"/>
              </w:rPr>
              <w:t xml:space="preserve">E</w:t>
            </w:r>
          </w:p>
        </w:tc>
        <w:tc>
          <w:tcPr/>
          <w:p w:rsidR="00000000" w:rsidDel="00000000" w:rsidP="00000000" w:rsidRDefault="00000000" w:rsidRPr="00000000" w14:paraId="00000017">
            <w:pPr>
              <w:spacing w:before="0" w:line="240" w:lineRule="auto"/>
              <w:rPr/>
            </w:pPr>
            <w:r w:rsidDel="00000000" w:rsidR="00000000" w:rsidRPr="00000000">
              <w:rPr>
                <w:b w:val="1"/>
                <w:bCs w:val="1"/>
                <w:rtl w:val="0"/>
              </w:rPr>
              <w:t xml:space="preserve">Emphasize</w:t>
            </w:r>
            <w:r w:rsidDel="00000000" w:rsidR="00000000" w:rsidRPr="00000000">
              <w:rPr>
                <w:rtl w:val="0"/>
              </w:rPr>
              <w:t xml:space="preserve"> agreement</w:t>
            </w:r>
          </w:p>
        </w:tc>
        <w:tc>
          <w:tcPr/>
          <w:p w:rsidR="00000000" w:rsidDel="00000000" w:rsidP="00000000" w:rsidRDefault="00000000" w:rsidRPr="00000000" w14:paraId="00000018">
            <w:pPr>
              <w:spacing w:before="0" w:line="240" w:lineRule="auto"/>
              <w:rPr/>
            </w:pPr>
            <w:r w:rsidDel="00000000" w:rsidR="00000000" w:rsidRPr="00000000">
              <w:rPr>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9">
            <w:pPr>
              <w:spacing w:before="0" w:line="240" w:lineRule="auto"/>
              <w:rPr>
                <w:b w:val="1"/>
                <w:bCs w:val="1"/>
              </w:rPr>
            </w:pPr>
            <w:r w:rsidDel="00000000" w:rsidR="00000000" w:rsidRPr="00000000">
              <w:rPr>
                <w:b w:val="1"/>
                <w:bCs w:val="1"/>
                <w:rtl w:val="0"/>
              </w:rPr>
              <w:t xml:space="preserve">A</w:t>
            </w:r>
          </w:p>
        </w:tc>
        <w:tc>
          <w:tcPr/>
          <w:p w:rsidR="00000000" w:rsidDel="00000000" w:rsidP="00000000" w:rsidRDefault="00000000" w:rsidRPr="00000000" w14:paraId="0000001A">
            <w:pPr>
              <w:spacing w:before="0" w:line="240" w:lineRule="auto"/>
              <w:rPr/>
            </w:pPr>
            <w:r w:rsidDel="00000000" w:rsidR="00000000" w:rsidRPr="00000000">
              <w:rPr>
                <w:b w:val="1"/>
                <w:bCs w:val="1"/>
                <w:rtl w:val="0"/>
              </w:rPr>
              <w:t xml:space="preserve">Acknowledge</w:t>
            </w:r>
            <w:r w:rsidDel="00000000" w:rsidR="00000000" w:rsidRPr="00000000">
              <w:rPr>
                <w:rtl w:val="0"/>
              </w:rPr>
              <w:t xml:space="preserve"> the other’s perspective</w:t>
            </w:r>
          </w:p>
        </w:tc>
        <w:tc>
          <w:tcPr/>
          <w:p w:rsidR="00000000" w:rsidDel="00000000" w:rsidP="00000000" w:rsidRDefault="00000000" w:rsidRPr="00000000" w14:paraId="0000001B">
            <w:pPr>
              <w:spacing w:before="0" w:line="240" w:lineRule="auto"/>
              <w:rPr/>
            </w:pPr>
            <w:r w:rsidDel="00000000" w:rsidR="00000000" w:rsidRPr="00000000">
              <w:rPr>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C">
            <w:pPr>
              <w:spacing w:before="0" w:line="240" w:lineRule="auto"/>
              <w:rPr>
                <w:b w:val="1"/>
                <w:bCs w:val="1"/>
              </w:rPr>
            </w:pPr>
            <w:r w:rsidDel="00000000" w:rsidR="00000000" w:rsidRPr="00000000">
              <w:rPr>
                <w:b w:val="1"/>
                <w:bCs w:val="1"/>
                <w:rtl w:val="0"/>
              </w:rPr>
              <w:t xml:space="preserve">R</w:t>
            </w:r>
          </w:p>
        </w:tc>
        <w:tc>
          <w:tcPr/>
          <w:p w:rsidR="00000000" w:rsidDel="00000000" w:rsidP="00000000" w:rsidRDefault="00000000" w:rsidRPr="00000000" w14:paraId="0000001D">
            <w:pPr>
              <w:spacing w:before="0" w:line="240" w:lineRule="auto"/>
              <w:rPr/>
            </w:pPr>
            <w:r w:rsidDel="00000000" w:rsidR="00000000" w:rsidRPr="00000000">
              <w:rPr>
                <w:b w:val="1"/>
                <w:bCs w:val="1"/>
                <w:rtl w:val="0"/>
              </w:rPr>
              <w:t xml:space="preserve">Reframe</w:t>
            </w:r>
            <w:r w:rsidDel="00000000" w:rsidR="00000000" w:rsidRPr="00000000">
              <w:rPr>
                <w:rtl w:val="0"/>
              </w:rPr>
              <w:t xml:space="preserve"> to the positive</w:t>
            </w:r>
          </w:p>
        </w:tc>
        <w:tc>
          <w:tcPr/>
          <w:p w:rsidR="00000000" w:rsidDel="00000000" w:rsidP="00000000" w:rsidRDefault="00000000" w:rsidRPr="00000000" w14:paraId="0000001E">
            <w:pPr>
              <w:spacing w:before="0" w:line="240" w:lineRule="auto"/>
              <w:rPr/>
            </w:pPr>
            <w:r w:rsidDel="00000000" w:rsidR="00000000" w:rsidRPr="00000000">
              <w:rPr>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F">
      <w:pPr>
        <w:pStyle w:val="Heading1"/>
        <w:rPr/>
      </w:pPr>
      <w:bookmarkStart w:colFirst="0" w:colLast="0" w:name="_8x7u4gqrdju0" w:id="6"/>
      <w:bookmarkEnd w:id="6"/>
      <w:r w:rsidDel="00000000" w:rsidR="00000000" w:rsidRPr="00000000">
        <w:rPr>
          <w:rtl w:val="0"/>
        </w:rPr>
        <w:t xml:space="preserve">3. The Game </w:t>
      </w:r>
    </w:p>
    <w:p w:rsidR="00000000" w:rsidDel="00000000" w:rsidP="00000000" w:rsidRDefault="00000000" w:rsidRPr="00000000" w14:paraId="00000020">
      <w:pPr>
        <w:rPr/>
      </w:pPr>
      <w:r w:rsidDel="00000000" w:rsidR="00000000" w:rsidRPr="00000000">
        <w:rPr>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1">
      <w:pPr>
        <w:pStyle w:val="Heading2"/>
        <w:rPr/>
      </w:pPr>
      <w:bookmarkStart w:colFirst="0" w:colLast="0" w:name="_h6c12zbk9cf" w:id="7"/>
      <w:bookmarkEnd w:id="7"/>
      <w:r w:rsidDel="00000000" w:rsidR="00000000" w:rsidRPr="00000000">
        <w:rPr>
          <w:rtl w:val="0"/>
        </w:rPr>
        <w:t xml:space="preserve">3.1 Introduction </w:t>
      </w:r>
    </w:p>
    <w:p w:rsidR="00000000" w:rsidDel="00000000" w:rsidP="00000000" w:rsidRDefault="00000000" w:rsidRPr="00000000" w14:paraId="00000022">
      <w:pPr>
        <w:rPr/>
      </w:pPr>
      <w:r w:rsidDel="00000000" w:rsidR="00000000" w:rsidRPr="00000000">
        <w:rPr>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3">
      <w:pPr>
        <w:rPr/>
      </w:pPr>
      <w:r w:rsidDel="00000000" w:rsidR="00000000" w:rsidRPr="00000000">
        <w:rPr>
          <w:rtl w:val="0"/>
        </w:rPr>
        <w:t xml:space="preserve">The introduction explains the rules of the game:</w:t>
      </w:r>
    </w:p>
    <w:p w:rsidR="00000000" w:rsidDel="00000000" w:rsidP="00000000" w:rsidRDefault="00000000" w:rsidRPr="00000000" w14:paraId="00000024">
      <w:pPr>
        <w:numPr>
          <w:ilvl w:val="0"/>
          <w:numId w:val="3"/>
        </w:numPr>
        <w:spacing w:after="0" w:afterAutospacing="0"/>
        <w:ind w:left="720" w:hanging="360"/>
      </w:pPr>
      <w:r w:rsidDel="00000000" w:rsidR="00000000" w:rsidRPr="00000000">
        <w:rPr>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25">
      <w:pPr>
        <w:numPr>
          <w:ilvl w:val="1"/>
          <w:numId w:val="3"/>
        </w:numPr>
        <w:spacing w:after="0" w:afterAutospacing="0" w:before="0" w:beforeAutospacing="0"/>
        <w:ind w:left="1440" w:hanging="360"/>
      </w:pPr>
      <w:r w:rsidDel="00000000" w:rsidR="00000000" w:rsidRPr="00000000">
        <w:rPr>
          <w:rtl w:val="0"/>
        </w:rPr>
        <w:t xml:space="preserve">As a general rule, each of the witnesses should have a reasonable </w:t>
      </w:r>
    </w:p>
    <w:p w:rsidR="00000000" w:rsidDel="00000000" w:rsidP="00000000" w:rsidRDefault="00000000" w:rsidRPr="00000000" w14:paraId="00000026">
      <w:pPr>
        <w:numPr>
          <w:ilvl w:val="0"/>
          <w:numId w:val="3"/>
        </w:numPr>
        <w:spacing w:after="0" w:afterAutospacing="0" w:before="0" w:beforeAutospacing="0"/>
        <w:ind w:left="720" w:hanging="360"/>
      </w:pPr>
      <w:r w:rsidDel="00000000" w:rsidR="00000000" w:rsidRPr="00000000">
        <w:rPr>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7">
      <w:pPr>
        <w:numPr>
          <w:ilvl w:val="0"/>
          <w:numId w:val="3"/>
        </w:numPr>
        <w:spacing w:after="0" w:afterAutospacing="0" w:before="0" w:beforeAutospacing="0"/>
        <w:ind w:left="720" w:hanging="360"/>
      </w:pPr>
      <w:r w:rsidDel="00000000" w:rsidR="00000000" w:rsidRPr="00000000">
        <w:rPr>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8">
      <w:pPr>
        <w:numPr>
          <w:ilvl w:val="0"/>
          <w:numId w:val="3"/>
        </w:numPr>
        <w:spacing w:after="0" w:afterAutospacing="0" w:before="0" w:beforeAutospacing="0"/>
        <w:ind w:left="720" w:hanging="360"/>
      </w:pPr>
      <w:r w:rsidDel="00000000" w:rsidR="00000000" w:rsidRPr="00000000">
        <w:rPr>
          <w:rtl w:val="0"/>
        </w:rPr>
        <w:t xml:space="preserve"> For each witness, one question is a </w:t>
      </w:r>
      <w:r w:rsidDel="00000000" w:rsidR="00000000" w:rsidRPr="00000000">
        <w:rPr>
          <w:b w:val="1"/>
          <w:bCs w:val="1"/>
          <w:rtl w:val="0"/>
        </w:rPr>
        <w:t xml:space="preserve">tripwire</w:t>
      </w:r>
      <w:r w:rsidDel="00000000" w:rsidR="00000000" w:rsidRPr="00000000">
        <w:rPr>
          <w:rtl w:val="0"/>
        </w:rPr>
        <w:t xml:space="preserve">: it offends or annoys them such that they walk away and the interview ends abruptly. There is no asking any more questions of a witness who was </w:t>
      </w:r>
      <w:r w:rsidDel="00000000" w:rsidR="00000000" w:rsidRPr="00000000">
        <w:rPr>
          <w:rtl w:val="0"/>
        </w:rPr>
        <w:t xml:space="preserve">asked a tripwire</w:t>
      </w:r>
      <w:r w:rsidDel="00000000" w:rsidR="00000000" w:rsidRPr="00000000">
        <w:rPr>
          <w:rtl w:val="0"/>
        </w:rPr>
        <w:t xml:space="preserve">.</w:t>
      </w:r>
    </w:p>
    <w:p w:rsidR="00000000" w:rsidDel="00000000" w:rsidP="00000000" w:rsidRDefault="00000000" w:rsidRPr="00000000" w14:paraId="00000029">
      <w:pPr>
        <w:numPr>
          <w:ilvl w:val="0"/>
          <w:numId w:val="3"/>
        </w:numPr>
        <w:spacing w:after="0" w:afterAutospacing="0" w:before="0" w:beforeAutospacing="0"/>
        <w:ind w:left="720" w:hanging="360"/>
      </w:pPr>
      <w:r w:rsidDel="00000000" w:rsidR="00000000" w:rsidRPr="00000000">
        <w:rPr>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tl w:val="0"/>
        </w:rPr>
        <w:t xml:space="preserve">two phrasings</w:t>
      </w:r>
      <w:r w:rsidDel="00000000" w:rsidR="00000000" w:rsidRPr="00000000">
        <w:rPr>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A">
      <w:pPr>
        <w:numPr>
          <w:ilvl w:val="0"/>
          <w:numId w:val="3"/>
        </w:numPr>
        <w:spacing w:after="0" w:afterAutospacing="0" w:before="0" w:beforeAutospacing="0"/>
        <w:ind w:left="720" w:hanging="360"/>
      </w:pPr>
      <w:r w:rsidDel="00000000" w:rsidR="00000000" w:rsidRPr="00000000">
        <w:rPr>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B">
      <w:pPr>
        <w:numPr>
          <w:ilvl w:val="0"/>
          <w:numId w:val="3"/>
        </w:numPr>
        <w:spacing w:before="0" w:beforeAutospacing="0"/>
        <w:ind w:left="720" w:hanging="360"/>
      </w:pPr>
      <w:r w:rsidDel="00000000" w:rsidR="00000000" w:rsidRPr="00000000">
        <w:rPr>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 slide with these rules should be available for players throughout the game so they can refresh their memories if they need to. </w:t>
      </w:r>
    </w:p>
    <w:p w:rsidR="00000000" w:rsidDel="00000000" w:rsidP="00000000" w:rsidRDefault="00000000" w:rsidRPr="00000000" w14:paraId="0000002D">
      <w:pPr>
        <w:pStyle w:val="Heading2"/>
        <w:rPr/>
      </w:pPr>
      <w:bookmarkStart w:colFirst="0" w:colLast="0" w:name="_35qvn8hk7yak" w:id="8"/>
      <w:bookmarkEnd w:id="8"/>
      <w:r w:rsidDel="00000000" w:rsidR="00000000" w:rsidRPr="00000000">
        <w:rPr>
          <w:rtl w:val="0"/>
        </w:rPr>
        <w:t xml:space="preserve">3.2 The Hook</w:t>
      </w:r>
    </w:p>
    <w:p w:rsidR="00000000" w:rsidDel="00000000" w:rsidP="00000000" w:rsidRDefault="00000000" w:rsidRPr="00000000" w14:paraId="0000002E">
      <w:pPr>
        <w:rPr/>
      </w:pPr>
      <w:r w:rsidDel="00000000" w:rsidR="00000000" w:rsidRPr="00000000">
        <w:rPr>
          <w:rtl w:val="0"/>
        </w:rPr>
        <w:t xml:space="preserve">After the introduction, players are introduced to the mystery by way of </w:t>
      </w:r>
      <w:r w:rsidDel="00000000" w:rsidR="00000000" w:rsidRPr="00000000">
        <w:rPr>
          <w:i w:val="1"/>
          <w:iCs w:val="1"/>
          <w:rtl w:val="0"/>
        </w:rPr>
        <w:t xml:space="preserve">the hook</w:t>
      </w:r>
      <w:r w:rsidDel="00000000" w:rsidR="00000000" w:rsidRPr="00000000">
        <w:rPr>
          <w:rtl w:val="0"/>
        </w:rPr>
        <w:t xml:space="preserve">: a piece of the narrative that presents the CCC, introduces the mystery </w:t>
      </w:r>
      <w:r w:rsidDel="00000000" w:rsidR="00000000" w:rsidRPr="00000000">
        <w:rPr>
          <w:i w:val="1"/>
          <w:iCs w:val="1"/>
          <w:rtl w:val="0"/>
        </w:rPr>
        <w:t xml:space="preserve">and</w:t>
      </w:r>
      <w:r w:rsidDel="00000000" w:rsidR="00000000" w:rsidRPr="00000000">
        <w:rPr>
          <w:rtl w:val="0"/>
        </w:rPr>
        <w:t xml:space="preserve"> situates the players within. For example, in </w:t>
      </w:r>
      <w:r w:rsidDel="00000000" w:rsidR="00000000" w:rsidRPr="00000000">
        <w:rPr>
          <w:i w:val="1"/>
          <w:iCs w:val="1"/>
          <w:rtl w:val="0"/>
        </w:rPr>
        <w:t xml:space="preserve">The Commons’ Comma</w:t>
      </w:r>
      <w:r w:rsidDel="00000000" w:rsidR="00000000" w:rsidRPr="00000000">
        <w:rPr>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F">
      <w:pPr>
        <w:rPr/>
      </w:pPr>
      <w:r w:rsidDel="00000000" w:rsidR="00000000" w:rsidRPr="00000000">
        <w:rPr>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30">
      <w:pPr>
        <w:pStyle w:val="Heading2"/>
        <w:rPr/>
      </w:pPr>
      <w:bookmarkStart w:colFirst="0" w:colLast="0" w:name="_j7v1h2yirc0i" w:id="9"/>
      <w:bookmarkEnd w:id="9"/>
      <w:r w:rsidDel="00000000" w:rsidR="00000000" w:rsidRPr="00000000">
        <w:rPr>
          <w:rtl w:val="0"/>
        </w:rPr>
        <w:t xml:space="preserve">3.3 Interviews</w:t>
      </w:r>
    </w:p>
    <w:p w:rsidR="00000000" w:rsidDel="00000000" w:rsidP="00000000" w:rsidRDefault="00000000" w:rsidRPr="00000000" w14:paraId="00000031">
      <w:pPr>
        <w:rPr/>
      </w:pPr>
      <w:r w:rsidDel="00000000" w:rsidR="00000000" w:rsidRPr="00000000">
        <w:rPr>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2">
      <w:pPr>
        <w:rPr/>
      </w:pPr>
      <w:r w:rsidDel="00000000" w:rsidR="00000000" w:rsidRPr="00000000">
        <w:rPr>
          <w:b w:val="1"/>
          <w:bCs w:val="1"/>
          <w:rtl w:val="0"/>
        </w:rPr>
        <w:t xml:space="preserve">A piece of information</w:t>
      </w:r>
      <w:r w:rsidDel="00000000" w:rsidR="00000000" w:rsidRPr="00000000">
        <w:rPr>
          <w:rtl w:val="0"/>
        </w:rPr>
        <w:t xml:space="preserve"> about the mystery. Of the seven non-tripwire answers of each witness, 4 convey useful information, which technically will be referred to as </w:t>
      </w:r>
      <w:r w:rsidDel="00000000" w:rsidR="00000000" w:rsidRPr="00000000">
        <w:rPr>
          <w:i w:val="1"/>
          <w:iCs w:val="1"/>
          <w:rtl w:val="0"/>
        </w:rPr>
        <w:t xml:space="preserve">Clues</w:t>
      </w:r>
      <w:r w:rsidDel="00000000" w:rsidR="00000000" w:rsidRPr="00000000">
        <w:rPr>
          <w:rtl w:val="0"/>
        </w:rPr>
        <w:t xml:space="preserve">, and 3 pieces of misleading or unhelpful information, which technically will be referred to as </w:t>
      </w:r>
      <w:r w:rsidDel="00000000" w:rsidR="00000000" w:rsidRPr="00000000">
        <w:rPr>
          <w:i w:val="1"/>
          <w:iCs w:val="1"/>
          <w:rtl w:val="0"/>
        </w:rPr>
        <w:t xml:space="preserve">Red Herrings,</w:t>
      </w:r>
      <w:r w:rsidDel="00000000" w:rsidR="00000000" w:rsidRPr="00000000">
        <w:rPr>
          <w:rtl w:val="0"/>
        </w:rPr>
        <w:t xml:space="preserve"> Across eight witnesses that is 32 useful answers and 24 red herrings.</w:t>
      </w:r>
    </w:p>
    <w:p w:rsidR="00000000" w:rsidDel="00000000" w:rsidP="00000000" w:rsidRDefault="00000000" w:rsidRPr="00000000" w14:paraId="00000033">
      <w:pPr>
        <w:numPr>
          <w:ilvl w:val="0"/>
          <w:numId w:val="8"/>
        </w:numPr>
        <w:spacing w:after="0" w:afterAutospacing="0"/>
        <w:ind w:left="720" w:hanging="360"/>
      </w:pPr>
      <w:r w:rsidDel="00000000" w:rsidR="00000000" w:rsidRPr="00000000">
        <w:rPr>
          <w:rtl w:val="0"/>
        </w:rPr>
        <w:t xml:space="preserve">The 32 useful answers include </w:t>
      </w:r>
      <w:r w:rsidDel="00000000" w:rsidR="00000000" w:rsidRPr="00000000">
        <w:rPr>
          <w:b w:val="1"/>
          <w:bCs w:val="1"/>
          <w:rtl w:val="0"/>
        </w:rPr>
        <w:t xml:space="preserve">16 Clues</w:t>
      </w:r>
      <w:r w:rsidDel="00000000" w:rsidR="00000000" w:rsidRPr="00000000">
        <w:rPr>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4">
      <w:pPr>
        <w:numPr>
          <w:ilvl w:val="0"/>
          <w:numId w:val="8"/>
        </w:numPr>
        <w:spacing w:after="0" w:afterAutospacing="0" w:before="0" w:beforeAutospacing="0"/>
        <w:ind w:left="720" w:hanging="360"/>
      </w:pPr>
      <w:r w:rsidDel="00000000" w:rsidR="00000000" w:rsidRPr="00000000">
        <w:rPr>
          <w:rtl w:val="0"/>
        </w:rPr>
        <w:t xml:space="preserve">The </w:t>
      </w:r>
      <w:r w:rsidDel="00000000" w:rsidR="00000000" w:rsidRPr="00000000">
        <w:rPr>
          <w:b w:val="1"/>
          <w:bCs w:val="1"/>
          <w:rtl w:val="0"/>
        </w:rPr>
        <w:t xml:space="preserve">24 Red Herrings</w:t>
      </w:r>
      <w:r w:rsidDel="00000000" w:rsidR="00000000" w:rsidRPr="00000000">
        <w:rPr>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vertAlign w:val="superscript"/>
        </w:rPr>
        <w:footnoteReference w:customMarkFollows="0" w:id="4"/>
      </w:r>
      <w:r w:rsidDel="00000000" w:rsidR="00000000" w:rsidRPr="00000000">
        <w:rPr>
          <w:rtl w:val="0"/>
        </w:rPr>
        <w:t xml:space="preserve"> Another example is a set of Red Herrings that make up lies which can be exposed when one has the whole set. </w:t>
      </w:r>
    </w:p>
    <w:p w:rsidR="00000000" w:rsidDel="00000000" w:rsidP="00000000" w:rsidRDefault="00000000" w:rsidRPr="00000000" w14:paraId="00000035">
      <w:pPr>
        <w:numPr>
          <w:ilvl w:val="0"/>
          <w:numId w:val="8"/>
        </w:numPr>
        <w:spacing w:before="0" w:beforeAutospacing="0"/>
        <w:ind w:left="720" w:hanging="360"/>
      </w:pPr>
      <w:r w:rsidDel="00000000" w:rsidR="00000000" w:rsidRPr="00000000">
        <w:rPr>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6">
      <w:pPr>
        <w:rPr/>
      </w:pPr>
      <w:r w:rsidDel="00000000" w:rsidR="00000000" w:rsidRPr="00000000">
        <w:rPr>
          <w:b w:val="1"/>
          <w:bCs w:val="1"/>
          <w:rtl w:val="0"/>
        </w:rPr>
        <w:t xml:space="preserve">An expressed opinion about the controversy</w:t>
      </w:r>
      <w:r w:rsidDel="00000000" w:rsidR="00000000" w:rsidRPr="00000000">
        <w:rPr>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7">
      <w:pPr>
        <w:rPr/>
      </w:pPr>
      <w:r w:rsidDel="00000000" w:rsidR="00000000" w:rsidRPr="00000000">
        <w:rPr>
          <w:rtl w:val="0"/>
        </w:rPr>
        <w:t xml:space="preserve">Receptive expressions use one or more HEAR moves while unreceptive ones expresses their views on the basis of </w:t>
      </w:r>
      <w:r w:rsidDel="00000000" w:rsidR="00000000" w:rsidRPr="00000000">
        <w:rPr>
          <w:i w:val="1"/>
          <w:iCs w:val="1"/>
          <w:rtl w:val="0"/>
        </w:rPr>
        <w:t xml:space="preserve">naive realism</w:t>
      </w:r>
      <w:r w:rsidDel="00000000" w:rsidR="00000000" w:rsidRPr="00000000">
        <w:rPr>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8">
      <w:pPr>
        <w:pStyle w:val="Heading3"/>
        <w:rPr/>
      </w:pPr>
      <w:bookmarkStart w:colFirst="0" w:colLast="0" w:name="_n565rz9sqema" w:id="10"/>
      <w:bookmarkEnd w:id="10"/>
      <w:r w:rsidDel="00000000" w:rsidR="00000000" w:rsidRPr="00000000">
        <w:rPr>
          <w:rtl w:val="0"/>
        </w:rPr>
        <w:t xml:space="preserve">3.3.1 Follow-up questions and Major Clues</w:t>
      </w:r>
    </w:p>
    <w:p w:rsidR="00000000" w:rsidDel="00000000" w:rsidP="00000000" w:rsidRDefault="00000000" w:rsidRPr="00000000" w14:paraId="00000039">
      <w:pPr>
        <w:rPr/>
      </w:pPr>
      <w:r w:rsidDel="00000000" w:rsidR="00000000" w:rsidRPr="00000000">
        <w:rPr>
          <w:rtl w:val="0"/>
        </w:rPr>
        <w:t xml:space="preserve">Once per witness, after any answer except for the tripwire, players may choose to “ask a follow-up about their opinion”. The game then offers </w:t>
      </w:r>
      <w:r w:rsidDel="00000000" w:rsidR="00000000" w:rsidRPr="00000000">
        <w:rPr>
          <w:rtl w:val="0"/>
        </w:rPr>
        <w:t xml:space="preserve">two </w:t>
      </w:r>
      <w:r w:rsidDel="00000000" w:rsidR="00000000" w:rsidRPr="00000000">
        <w:rPr>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A">
      <w:pPr>
        <w:rPr/>
      </w:pPr>
      <w:r w:rsidDel="00000000" w:rsidR="00000000" w:rsidRPr="00000000">
        <w:rPr>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b w:val="1"/>
          <w:bCs w:val="1"/>
          <w:rtl w:val="0"/>
        </w:rPr>
        <w:t xml:space="preserve">picking the correct follow-up should be as difficult as possible</w:t>
      </w:r>
      <w:r w:rsidDel="00000000" w:rsidR="00000000" w:rsidRPr="00000000">
        <w:rPr>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B">
      <w:pPr>
        <w:numPr>
          <w:ilvl w:val="0"/>
          <w:numId w:val="1"/>
        </w:numPr>
        <w:spacing w:after="0" w:afterAutospacing="0"/>
        <w:ind w:left="720" w:hanging="360"/>
      </w:pPr>
      <w:r w:rsidDel="00000000" w:rsidR="00000000" w:rsidRPr="00000000">
        <w:rPr>
          <w:rtl w:val="0"/>
        </w:rPr>
        <w:t xml:space="preserve">If the player picks the more receptive follow-up, the witness opens up and the player earns one of the four </w:t>
      </w:r>
      <w:r w:rsidDel="00000000" w:rsidR="00000000" w:rsidRPr="00000000">
        <w:rPr>
          <w:b w:val="1"/>
          <w:bCs w:val="1"/>
          <w:rtl w:val="0"/>
        </w:rPr>
        <w:t xml:space="preserve">Major Clues</w:t>
      </w:r>
      <w:r w:rsidDel="00000000" w:rsidR="00000000" w:rsidRPr="00000000">
        <w:rPr>
          <w:rtl w:val="0"/>
        </w:rPr>
        <w:t xml:space="preserve">. The game then shows a short explanation of why that phrasing worked and which HEAR elements it used.</w:t>
      </w:r>
    </w:p>
    <w:p w:rsidR="00000000" w:rsidDel="00000000" w:rsidP="00000000" w:rsidRDefault="00000000" w:rsidRPr="00000000" w14:paraId="0000003C">
      <w:pPr>
        <w:numPr>
          <w:ilvl w:val="0"/>
          <w:numId w:val="1"/>
        </w:numPr>
        <w:spacing w:before="0" w:beforeAutospacing="0"/>
        <w:ind w:left="720" w:hanging="360"/>
      </w:pPr>
      <w:r w:rsidDel="00000000" w:rsidR="00000000" w:rsidRPr="00000000">
        <w:rPr>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D">
      <w:pPr>
        <w:rPr/>
      </w:pPr>
      <w:r w:rsidDel="00000000" w:rsidR="00000000" w:rsidRPr="00000000">
        <w:rPr>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E">
      <w:pPr>
        <w:pStyle w:val="Heading2"/>
        <w:rPr/>
      </w:pPr>
      <w:bookmarkStart w:colFirst="0" w:colLast="0" w:name="_1qymattj2854" w:id="11"/>
      <w:bookmarkEnd w:id="11"/>
      <w:r w:rsidDel="00000000" w:rsidR="00000000" w:rsidRPr="00000000">
        <w:rPr>
          <w:rtl w:val="0"/>
        </w:rPr>
        <w:t xml:space="preserve">3.4 Solving the Mystery and Ending</w:t>
      </w:r>
    </w:p>
    <w:p w:rsidR="00000000" w:rsidDel="00000000" w:rsidP="00000000" w:rsidRDefault="00000000" w:rsidRPr="00000000" w14:paraId="0000003F">
      <w:pPr>
        <w:rPr/>
      </w:pPr>
      <w:r w:rsidDel="00000000" w:rsidR="00000000" w:rsidRPr="00000000">
        <w:rPr>
          <w:rtl w:val="0"/>
        </w:rPr>
        <w:t xml:space="preserve">After every interview question that’s resolved, players may choose to </w:t>
      </w:r>
      <w:r w:rsidDel="00000000" w:rsidR="00000000" w:rsidRPr="00000000">
        <w:rPr>
          <w:i w:val="1"/>
          <w:iCs w:val="1"/>
          <w:rtl w:val="0"/>
        </w:rPr>
        <w:t xml:space="preserve">solve</w:t>
      </w:r>
      <w:r w:rsidDel="00000000" w:rsidR="00000000" w:rsidRPr="00000000">
        <w:rPr>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b w:val="1"/>
          <w:bCs w:val="1"/>
          <w:rtl w:val="0"/>
        </w:rPr>
        <w:t xml:space="preserve">Players are given three chances to submit their answers</w:t>
      </w:r>
      <w:r w:rsidDel="00000000" w:rsidR="00000000" w:rsidRPr="00000000">
        <w:rPr>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40">
      <w:pPr>
        <w:rPr/>
      </w:pPr>
      <w:r w:rsidDel="00000000" w:rsidR="00000000" w:rsidRPr="00000000">
        <w:rPr>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1">
      <w:pPr>
        <w:rPr/>
      </w:pPr>
      <w:r w:rsidDel="00000000" w:rsidR="00000000" w:rsidRPr="00000000">
        <w:rPr>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2">
      <w:pPr>
        <w:rPr/>
      </w:pPr>
      <w:r w:rsidDel="00000000" w:rsidR="00000000" w:rsidRPr="00000000">
        <w:rPr>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3">
      <w:pPr>
        <w:pStyle w:val="Heading1"/>
        <w:rPr/>
      </w:pPr>
      <w:bookmarkStart w:colFirst="0" w:colLast="0" w:name="_6ox7aix20q37" w:id="12"/>
      <w:bookmarkEnd w:id="12"/>
      <w:commentRangeStart w:id="0"/>
      <w:r w:rsidDel="00000000" w:rsidR="00000000" w:rsidRPr="00000000">
        <w:rPr>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5">
      <w:pPr>
        <w:numPr>
          <w:ilvl w:val="0"/>
          <w:numId w:val="2"/>
        </w:numPr>
        <w:spacing w:after="0" w:afterAutospacing="0"/>
        <w:ind w:left="720" w:hanging="360"/>
      </w:pPr>
      <w:r w:rsidDel="00000000" w:rsidR="00000000" w:rsidRPr="00000000">
        <w:rPr>
          <w:rtl w:val="0"/>
        </w:rPr>
        <w:t xml:space="preserve">Title, scenario ID (used in filenames and the engine), background/summary. </w:t>
      </w:r>
    </w:p>
    <w:p w:rsidR="00000000" w:rsidDel="00000000" w:rsidP="00000000" w:rsidRDefault="00000000" w:rsidRPr="00000000" w14:paraId="00000046">
      <w:pPr>
        <w:numPr>
          <w:ilvl w:val="0"/>
          <w:numId w:val="2"/>
        </w:numPr>
        <w:spacing w:after="0" w:afterAutospacing="0" w:before="0" w:beforeAutospacing="0"/>
        <w:ind w:left="720" w:hanging="360"/>
      </w:pPr>
      <w:r w:rsidDel="00000000" w:rsidR="00000000" w:rsidRPr="00000000">
        <w:rPr>
          <w:b w:val="1"/>
          <w:bCs w:val="1"/>
          <w:rtl w:val="0"/>
        </w:rPr>
        <w:t xml:space="preserve">The mystery</w:t>
      </w:r>
      <w:r w:rsidDel="00000000" w:rsidR="00000000" w:rsidRPr="00000000">
        <w:rPr>
          <w:rtl w:val="0"/>
        </w:rPr>
        <w:t xml:space="preserve">: the question the player is asked to answer (for example “who removed X, why, and where is it now?”).</w:t>
      </w:r>
    </w:p>
    <w:p w:rsidR="00000000" w:rsidDel="00000000" w:rsidP="00000000" w:rsidRDefault="00000000" w:rsidRPr="00000000" w14:paraId="00000047">
      <w:pPr>
        <w:numPr>
          <w:ilvl w:val="0"/>
          <w:numId w:val="2"/>
        </w:numPr>
        <w:spacing w:after="0" w:afterAutospacing="0" w:before="0" w:beforeAutospacing="0"/>
        <w:ind w:left="720" w:hanging="360"/>
      </w:pPr>
      <w:r w:rsidDel="00000000" w:rsidR="00000000" w:rsidRPr="00000000">
        <w:rPr>
          <w:b w:val="1"/>
          <w:bCs w:val="1"/>
          <w:rtl w:val="0"/>
        </w:rPr>
        <w:t xml:space="preserve">The solution: </w:t>
      </w:r>
      <w:r w:rsidDel="00000000" w:rsidR="00000000" w:rsidRPr="00000000">
        <w:rPr>
          <w:rtl w:val="0"/>
        </w:rPr>
        <w:t xml:space="preserve">the answer to the mystery</w:t>
      </w:r>
    </w:p>
    <w:p w:rsidR="00000000" w:rsidDel="00000000" w:rsidP="00000000" w:rsidRDefault="00000000" w:rsidRPr="00000000" w14:paraId="00000048">
      <w:pPr>
        <w:numPr>
          <w:ilvl w:val="1"/>
          <w:numId w:val="2"/>
        </w:numPr>
        <w:spacing w:after="0" w:afterAutospacing="0" w:before="0" w:beforeAutospacing="0"/>
        <w:ind w:left="1440" w:hanging="360"/>
      </w:pPr>
      <w:r w:rsidDel="00000000" w:rsidR="00000000" w:rsidRPr="00000000">
        <w:rPr>
          <w:rtl w:val="0"/>
        </w:rPr>
        <w:t xml:space="preserve">The 16 Clues that tell the story of the answer, alongside the 4 Major Clues that make each group of four.</w:t>
      </w:r>
    </w:p>
    <w:p w:rsidR="00000000" w:rsidDel="00000000" w:rsidP="00000000" w:rsidRDefault="00000000" w:rsidRPr="00000000" w14:paraId="00000049">
      <w:pPr>
        <w:numPr>
          <w:ilvl w:val="0"/>
          <w:numId w:val="2"/>
        </w:numPr>
        <w:spacing w:after="0" w:afterAutospacing="0" w:before="0" w:beforeAutospacing="0"/>
        <w:ind w:left="720" w:hanging="360"/>
      </w:pPr>
      <w:r w:rsidDel="00000000" w:rsidR="00000000" w:rsidRPr="00000000">
        <w:rPr>
          <w:b w:val="1"/>
          <w:bCs w:val="1"/>
          <w:rtl w:val="0"/>
        </w:rPr>
        <w:t xml:space="preserve">The final-answer form</w:t>
      </w:r>
      <w:r w:rsidDel="00000000" w:rsidR="00000000" w:rsidRPr="00000000">
        <w:rPr>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A">
      <w:pPr>
        <w:numPr>
          <w:ilvl w:val="0"/>
          <w:numId w:val="2"/>
        </w:numPr>
        <w:spacing w:after="0" w:afterAutospacing="0" w:before="0" w:beforeAutospacing="0"/>
        <w:ind w:left="720" w:hanging="360"/>
      </w:pPr>
      <w:r w:rsidDel="00000000" w:rsidR="00000000" w:rsidRPr="00000000">
        <w:rPr>
          <w:rtl w:val="0"/>
        </w:rPr>
        <w:t xml:space="preserve">Passages text: Start, Rules, the Hook, Map, Interview, Answer, Follow-up, Evidence Board, Submission, Result, ending, ranking</w:t>
      </w:r>
    </w:p>
    <w:p w:rsidR="00000000" w:rsidDel="00000000" w:rsidP="00000000" w:rsidRDefault="00000000" w:rsidRPr="00000000" w14:paraId="0000004B">
      <w:pPr>
        <w:numPr>
          <w:ilvl w:val="0"/>
          <w:numId w:val="2"/>
        </w:numPr>
        <w:spacing w:after="0" w:afterAutospacing="0" w:before="0" w:beforeAutospacing="0"/>
        <w:ind w:left="720" w:hanging="360"/>
      </w:pPr>
      <w:r w:rsidDel="00000000" w:rsidR="00000000" w:rsidRPr="00000000">
        <w:rPr>
          <w:rtl w:val="0"/>
        </w:rPr>
        <w:t xml:space="preserve">The eight questions </w:t>
      </w:r>
    </w:p>
    <w:p w:rsidR="00000000" w:rsidDel="00000000" w:rsidP="00000000" w:rsidRDefault="00000000" w:rsidRPr="00000000" w14:paraId="0000004C">
      <w:pPr>
        <w:numPr>
          <w:ilvl w:val="0"/>
          <w:numId w:val="2"/>
        </w:numPr>
        <w:spacing w:after="0" w:afterAutospacing="0" w:before="0" w:beforeAutospacing="0"/>
        <w:ind w:left="720" w:hanging="360"/>
      </w:pPr>
      <w:r w:rsidDel="00000000" w:rsidR="00000000" w:rsidRPr="00000000">
        <w:rPr>
          <w:rtl w:val="0"/>
        </w:rPr>
        <w:t xml:space="preserve">The eight witnesses list:</w:t>
      </w:r>
    </w:p>
    <w:p w:rsidR="00000000" w:rsidDel="00000000" w:rsidP="00000000" w:rsidRDefault="00000000" w:rsidRPr="00000000" w14:paraId="0000004D">
      <w:pPr>
        <w:numPr>
          <w:ilvl w:val="1"/>
          <w:numId w:val="2"/>
        </w:numPr>
        <w:spacing w:after="0" w:afterAutospacing="0" w:before="0" w:beforeAutospacing="0"/>
        <w:ind w:left="1440" w:hanging="360"/>
      </w:pPr>
      <w:r w:rsidDel="00000000" w:rsidR="00000000" w:rsidRPr="00000000">
        <w:rPr>
          <w:rtl w:val="0"/>
        </w:rPr>
        <w:t xml:space="preserve">Information, image, ID (W01-W08)</w:t>
      </w:r>
    </w:p>
    <w:p w:rsidR="00000000" w:rsidDel="00000000" w:rsidP="00000000" w:rsidRDefault="00000000" w:rsidRPr="00000000" w14:paraId="0000004E">
      <w:pPr>
        <w:numPr>
          <w:ilvl w:val="1"/>
          <w:numId w:val="2"/>
        </w:numPr>
        <w:spacing w:after="0" w:afterAutospacing="0" w:before="0" w:beforeAutospacing="0"/>
        <w:ind w:left="1440" w:hanging="360"/>
      </w:pPr>
      <w:r w:rsidDel="00000000" w:rsidR="00000000" w:rsidRPr="00000000">
        <w:rPr>
          <w:rtl w:val="0"/>
        </w:rPr>
        <w:t xml:space="preserve">Position on the CCC</w:t>
      </w:r>
    </w:p>
    <w:p w:rsidR="00000000" w:rsidDel="00000000" w:rsidP="00000000" w:rsidRDefault="00000000" w:rsidRPr="00000000" w14:paraId="0000004F">
      <w:pPr>
        <w:numPr>
          <w:ilvl w:val="1"/>
          <w:numId w:val="2"/>
        </w:numPr>
        <w:spacing w:after="0" w:afterAutospacing="0" w:before="0" w:beforeAutospacing="0"/>
        <w:ind w:left="1440" w:hanging="360"/>
      </w:pPr>
      <w:r w:rsidDel="00000000" w:rsidR="00000000" w:rsidRPr="00000000">
        <w:rPr>
          <w:rtl w:val="0"/>
        </w:rPr>
        <w:t xml:space="preserve">Which question is their tripwire </w:t>
      </w:r>
    </w:p>
    <w:p w:rsidR="00000000" w:rsidDel="00000000" w:rsidP="00000000" w:rsidRDefault="00000000" w:rsidRPr="00000000" w14:paraId="00000050">
      <w:pPr>
        <w:numPr>
          <w:ilvl w:val="1"/>
          <w:numId w:val="2"/>
        </w:numPr>
        <w:spacing w:after="0" w:afterAutospacing="0" w:before="0" w:beforeAutospacing="0"/>
        <w:ind w:left="1440" w:hanging="360"/>
      </w:pPr>
      <w:r w:rsidDel="00000000" w:rsidR="00000000" w:rsidRPr="00000000">
        <w:rPr>
          <w:rtl w:val="0"/>
        </w:rPr>
        <w:t xml:space="preserve">Receptiveness score</w:t>
      </w:r>
    </w:p>
    <w:p w:rsidR="00000000" w:rsidDel="00000000" w:rsidP="00000000" w:rsidRDefault="00000000" w:rsidRPr="00000000" w14:paraId="00000051">
      <w:pPr>
        <w:numPr>
          <w:ilvl w:val="1"/>
          <w:numId w:val="2"/>
        </w:numPr>
        <w:spacing w:after="0" w:afterAutospacing="0" w:before="0" w:beforeAutospacing="0"/>
        <w:ind w:left="1440" w:hanging="360"/>
      </w:pPr>
      <w:r w:rsidDel="00000000" w:rsidR="00000000" w:rsidRPr="00000000">
        <w:rPr>
          <w:rtl w:val="0"/>
        </w:rPr>
        <w:t xml:space="preserve">A follow-up pair of questions </w:t>
      </w:r>
    </w:p>
    <w:p w:rsidR="00000000" w:rsidDel="00000000" w:rsidP="00000000" w:rsidRDefault="00000000" w:rsidRPr="00000000" w14:paraId="00000052">
      <w:pPr>
        <w:numPr>
          <w:ilvl w:val="0"/>
          <w:numId w:val="2"/>
        </w:numPr>
        <w:spacing w:after="0" w:afterAutospacing="0" w:before="0" w:beforeAutospacing="0"/>
        <w:ind w:left="720" w:hanging="360"/>
      </w:pPr>
      <w:r w:rsidDel="00000000" w:rsidR="00000000" w:rsidRPr="00000000">
        <w:rPr>
          <w:rtl w:val="0"/>
        </w:rPr>
        <w:t xml:space="preserve">The 24 Red Herrings organized into sets</w:t>
      </w:r>
    </w:p>
    <w:p w:rsidR="00000000" w:rsidDel="00000000" w:rsidP="00000000" w:rsidRDefault="00000000" w:rsidRPr="00000000" w14:paraId="00000053">
      <w:pPr>
        <w:numPr>
          <w:ilvl w:val="0"/>
          <w:numId w:val="2"/>
        </w:numPr>
        <w:spacing w:before="0" w:beforeAutospacing="0"/>
        <w:ind w:left="720" w:hanging="360"/>
      </w:pPr>
      <w:r w:rsidDel="00000000" w:rsidR="00000000" w:rsidRPr="00000000">
        <w:rPr>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d1r6eb5gp8x" w:id="13"/>
      <w:bookmarkEnd w:id="13"/>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Notes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Notes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D">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E">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60">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1">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2">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fcvyjb2dti1d" w:id="14"/>
      <w:bookmarkEnd w:id="1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Rules of the game</w:t>
      </w:r>
      <w:r w:rsidDel="00000000" w:rsidR="00000000" w:rsidRPr="00000000">
        <w:rPr>
          <w:rtl w:val="0"/>
        </w:rPr>
      </w:r>
    </w:p>
    <w:p w:rsidR="00000000" w:rsidDel="00000000" w:rsidP="00000000" w:rsidRDefault="00000000" w:rsidRPr="00000000" w14:paraId="00000068">
      <w:pPr>
        <w:pStyle w:val="Heading1"/>
        <w:rPr/>
      </w:pPr>
      <w:bookmarkStart w:colFirst="0" w:colLast="0" w:name="_xsv09x7iedko" w:id="15"/>
      <w:bookmarkEnd w:id="15"/>
      <w:r w:rsidDel="00000000" w:rsidR="00000000" w:rsidRPr="00000000">
        <w:rPr>
          <w:rtl w:val="0"/>
        </w:rPr>
        <w:t xml:space="preserve">How to play</w:t>
      </w:r>
    </w:p>
    <w:p w:rsidR="00000000" w:rsidDel="00000000" w:rsidP="00000000" w:rsidRDefault="00000000" w:rsidRPr="00000000" w14:paraId="00000069">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E">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F">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70">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71">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uide and these rules are always in the sidebar.</w:t>
      </w:r>
    </w:p>
    <w:p w:rsidR="00000000" w:rsidDel="00000000" w:rsidP="00000000" w:rsidRDefault="00000000" w:rsidRPr="00000000" w14:paraId="000000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6krtdbv554k" w:id="16"/>
      <w:bookmarkEnd w:id="16"/>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 Framework introduction</w:t>
      </w:r>
      <w:r w:rsidDel="00000000" w:rsidR="00000000" w:rsidRPr="00000000">
        <w:rPr>
          <w:rtl w:val="0"/>
        </w:rPr>
      </w:r>
    </w:p>
    <w:p w:rsidR="00000000" w:rsidDel="00000000" w:rsidP="00000000" w:rsidRDefault="00000000" w:rsidRPr="00000000" w14:paraId="00000073">
      <w:pPr>
        <w:pStyle w:val="Heading1"/>
        <w:rPr/>
      </w:pPr>
      <w:bookmarkStart w:colFirst="0" w:colLast="0" w:name="_gca2y5oth70s" w:id="17"/>
      <w:bookmarkEnd w:id="17"/>
      <w:r w:rsidDel="00000000" w:rsidR="00000000" w:rsidRPr="00000000">
        <w:rPr>
          <w:rtl w:val="0"/>
        </w:rPr>
        <w:t xml:space="preserve">The HEAR framework</w:t>
      </w:r>
    </w:p>
    <w:p w:rsidR="00000000" w:rsidDel="00000000" w:rsidP="00000000" w:rsidRDefault="00000000" w:rsidRPr="00000000" w14:paraId="00000074">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15kfzlgp827m" w:id="18"/>
      <w:bookmarkEnd w:id="18"/>
      <w:r w:rsidDel="00000000" w:rsidR="00000000" w:rsidRPr="00000000">
        <w:rPr>
          <w:rtl w:val="0"/>
        </w:rPr>
        <w:t xml:space="preserve">Hedge your claims</w:t>
      </w:r>
    </w:p>
    <w:p w:rsidR="00000000" w:rsidDel="00000000" w:rsidP="00000000" w:rsidRDefault="00000000" w:rsidRPr="00000000" w14:paraId="00000076">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14bj2v2wcr9b" w:id="19"/>
      <w:bookmarkEnd w:id="19"/>
      <w:r w:rsidDel="00000000" w:rsidR="00000000" w:rsidRPr="00000000">
        <w:rPr>
          <w:rtl w:val="0"/>
        </w:rPr>
        <w:t xml:space="preserve">Emphasize agreement</w:t>
      </w:r>
    </w:p>
    <w:p w:rsidR="00000000" w:rsidDel="00000000" w:rsidP="00000000" w:rsidRDefault="00000000" w:rsidRPr="00000000" w14:paraId="00000078">
      <w:pPr>
        <w:rPr/>
      </w:pPr>
      <w:r w:rsidDel="00000000" w:rsidR="00000000" w:rsidRPr="00000000">
        <w:rPr>
          <w:rtl w:val="0"/>
        </w:rPr>
        <w:t xml:space="preserve">Find common ground: “We both want…”, “I agree that…”.</w:t>
      </w:r>
    </w:p>
    <w:p w:rsidR="00000000" w:rsidDel="00000000" w:rsidP="00000000" w:rsidRDefault="00000000" w:rsidRPr="00000000" w14:paraId="00000079">
      <w:pPr>
        <w:pStyle w:val="Heading2"/>
        <w:numPr>
          <w:ilvl w:val="0"/>
          <w:numId w:val="4"/>
        </w:numPr>
        <w:ind w:left="720" w:hanging="360"/>
        <w:rPr>
          <w:sz w:val="32"/>
          <w:szCs w:val="32"/>
        </w:rPr>
      </w:pPr>
      <w:bookmarkStart w:colFirst="0" w:colLast="0" w:name="_zheajp4hsm8n" w:id="20"/>
      <w:bookmarkEnd w:id="20"/>
      <w:r w:rsidDel="00000000" w:rsidR="00000000" w:rsidRPr="00000000">
        <w:rPr>
          <w:rtl w:val="0"/>
        </w:rPr>
        <w:t xml:space="preserve">Acknowledge the other's perspective</w:t>
      </w:r>
    </w:p>
    <w:p w:rsidR="00000000" w:rsidDel="00000000" w:rsidP="00000000" w:rsidRDefault="00000000" w:rsidRPr="00000000" w14:paraId="0000007A">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B">
      <w:pPr>
        <w:pStyle w:val="Heading2"/>
        <w:numPr>
          <w:ilvl w:val="0"/>
          <w:numId w:val="4"/>
        </w:numPr>
        <w:ind w:left="720" w:hanging="360"/>
        <w:rPr>
          <w:sz w:val="32"/>
          <w:szCs w:val="32"/>
        </w:rPr>
      </w:pPr>
      <w:bookmarkStart w:colFirst="0" w:colLast="0" w:name="_47i9enf78bla" w:id="21"/>
      <w:bookmarkEnd w:id="21"/>
      <w:r w:rsidDel="00000000" w:rsidR="00000000" w:rsidRPr="00000000">
        <w:rPr>
          <w:rtl w:val="0"/>
        </w:rPr>
        <w:t xml:space="preserve">Reframe to the positive</w:t>
      </w:r>
    </w:p>
    <w:p w:rsidR="00000000" w:rsidDel="00000000" w:rsidP="00000000" w:rsidRDefault="00000000" w:rsidRPr="00000000" w14:paraId="0000007C">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D">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rl4h1gpdhqh" w:id="22"/>
      <w:bookmarkEnd w:id="22"/>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facts</w:t>
      </w:r>
      <w:r w:rsidDel="00000000" w:rsidR="00000000" w:rsidRPr="00000000">
        <w:rPr>
          <w:rtl w:val="0"/>
        </w:rPr>
      </w:r>
    </w:p>
    <w:p w:rsidR="00000000" w:rsidDel="00000000" w:rsidP="00000000" w:rsidRDefault="00000000" w:rsidRPr="00000000" w14:paraId="0000007F">
      <w:pPr>
        <w:pStyle w:val="Heading1"/>
        <w:rPr/>
      </w:pPr>
      <w:bookmarkStart w:colFirst="0" w:colLast="0" w:name="_uynt6v9uhldf" w:id="23"/>
      <w:bookmarkEnd w:id="23"/>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D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A">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B">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r>
          </w:p>
        </w:tc>
        <w:tc>
          <w:tcPr/>
          <w:p w:rsidR="00000000" w:rsidDel="00000000" w:rsidP="00000000" w:rsidRDefault="00000000" w:rsidRPr="00000000" w14:paraId="000000DE">
            <w:pPr>
              <w:widowControl w:val="0"/>
              <w:spacing w:before="0" w:line="240" w:lineRule="auto"/>
              <w:rPr/>
            </w:pPr>
            <w:r w:rsidDel="00000000" w:rsidR="00000000" w:rsidRPr="00000000">
              <w:rPr>
                <w:rtl w:val="0"/>
              </w:rPr>
            </w:r>
          </w:p>
        </w:tc>
      </w:tr>
    </w:tbl>
    <w:p w:rsidR="00000000" w:rsidDel="00000000" w:rsidP="00000000" w:rsidRDefault="00000000" w:rsidRPr="00000000" w14:paraId="000000D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z3gy8tpsl8x" w:id="24"/>
      <w:bookmarkEnd w:id="2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text</w:t>
      </w:r>
      <w:r w:rsidDel="00000000" w:rsidR="00000000" w:rsidRPr="00000000">
        <w:rPr>
          <w:rtl w:val="0"/>
        </w:rPr>
      </w:r>
    </w:p>
    <w:p w:rsidR="00000000" w:rsidDel="00000000" w:rsidP="00000000" w:rsidRDefault="00000000" w:rsidRPr="00000000" w14:paraId="000000E1">
      <w:pPr>
        <w:pStyle w:val="Heading1"/>
        <w:rPr/>
      </w:pPr>
      <w:bookmarkStart w:colFirst="0" w:colLast="0" w:name="_f5xcdpggf68j" w:id="25"/>
      <w:bookmarkEnd w:id="25"/>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105">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7">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8">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9">
            <w:pPr>
              <w:widowControl w:val="0"/>
              <w:spacing w:before="0" w:line="240" w:lineRule="auto"/>
              <w:rPr/>
            </w:pPr>
            <w:r w:rsidDel="00000000" w:rsidR="00000000" w:rsidRPr="00000000">
              <w:rPr>
                <w:rtl w:val="0"/>
              </w:rPr>
            </w:r>
          </w:p>
        </w:tc>
      </w:tr>
    </w:tbl>
    <w:p w:rsidR="00000000" w:rsidDel="00000000" w:rsidP="00000000" w:rsidRDefault="00000000" w:rsidRPr="00000000" w14:paraId="0000010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i w:val="1"/>
          <w:iCs w:val="1"/>
          <w:sz w:val="20"/>
          <w:szCs w:val="20"/>
          <w:rtl w:val="0"/>
        </w:rPr>
        <w:t xml:space="preserve">The Harvard EdCast</w:t>
      </w:r>
      <w:r w:rsidDel="00000000" w:rsidR="00000000" w:rsidRPr="00000000">
        <w:rPr>
          <w:sz w:val="20"/>
          <w:szCs w:val="20"/>
          <w:rtl w:val="0"/>
        </w:rPr>
        <w:t xml:space="preserve">. Harvard Graduate School of Education. </w:t>
      </w:r>
      <w:hyperlink r:id="rId1">
        <w:r w:rsidDel="00000000" w:rsidR="00000000" w:rsidRPr="00000000">
          <w:rPr>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C">
      <w:pPr>
        <w:spacing w:before="0" w:line="240" w:lineRule="auto"/>
        <w:rPr>
          <w:sz w:val="20"/>
          <w:szCs w:val="20"/>
        </w:rPr>
      </w:pPr>
      <w:r w:rsidDel="00000000" w:rsidR="00000000" w:rsidRPr="00000000">
        <w:rPr>
          <w:rtl w:val="0"/>
        </w:rPr>
      </w:r>
    </w:p>
  </w:footnote>
  <w:footnote w:id="1">
    <w:p w:rsidR="00000000" w:rsidDel="00000000" w:rsidP="00000000" w:rsidRDefault="00000000" w:rsidRPr="00000000" w14:paraId="0000010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Michael Yeomans, Julia Minson, Hanne Collins, Frances Chen, and Francesca Gino. "Conversational receptiveness: Improving engagement with opposing views."</w:t>
      </w:r>
      <w:r w:rsidDel="00000000" w:rsidR="00000000" w:rsidRPr="00000000">
        <w:rPr>
          <w:i w:val="1"/>
          <w:iCs w:val="1"/>
          <w:sz w:val="20"/>
          <w:szCs w:val="20"/>
          <w:rtl w:val="0"/>
        </w:rPr>
        <w:t xml:space="preserve"> Organizational Behavior and Human Decision Processes</w:t>
      </w:r>
      <w:r w:rsidDel="00000000" w:rsidR="00000000" w:rsidRPr="00000000">
        <w:rPr>
          <w:sz w:val="20"/>
          <w:szCs w:val="20"/>
          <w:rtl w:val="0"/>
        </w:rPr>
        <w:t xml:space="preserve"> 160 (September 2020);</w:t>
      </w:r>
    </w:p>
  </w:footnote>
  <w:footnote w:id="2">
    <w:p w:rsidR="00000000" w:rsidDel="00000000" w:rsidP="00000000" w:rsidRDefault="00000000" w:rsidRPr="00000000" w14:paraId="0000010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1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