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plit-yellow-bus-initiative"/>
    <w:p>
      <w:pPr>
        <w:pStyle w:val="Heading1"/>
      </w:pPr>
      <w:r>
        <w:t xml:space="preserve">Split Yellow Bus Initiative</w:t>
      </w:r>
    </w:p>
    <w:bookmarkStart w:id="9" w:name="X14570a6900fa576e1ef5feee8ae93be21d623b2"/>
    <w:p>
      <w:pPr>
        <w:pStyle w:val="Heading2"/>
      </w:pPr>
      <w:r>
        <w:t xml:space="preserve">Redistributing Pupils from Overcrowded Eastern Schools to Under-Enrolled Central Schools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  <w:r>
        <w:br/>
      </w:r>
      <w:r>
        <w:rPr>
          <w:b/>
          <w:bCs/>
        </w:rPr>
        <w:t xml:space="preserve">City:</w:t>
      </w:r>
      <w:r>
        <w:t xml:space="preserve"> </w:t>
      </w:r>
      <w:r>
        <w:t xml:space="preserve">Split, Croatia</w:t>
      </w:r>
      <w:r>
        <w:br/>
      </w:r>
      <w:r>
        <w:rPr>
          <w:b/>
          <w:bCs/>
        </w:rPr>
        <w:t xml:space="preserve">School level:</w:t>
      </w:r>
      <w:r>
        <w:t xml:space="preserve"> </w:t>
      </w:r>
      <w:r>
        <w:t xml:space="preserve">Elementary (OŠ), Grades 1–8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Split’s primary schools are in a state of structural imbalance. Schools in the rapidly growing eastern neighbourhoods are operating at—or beyond—the legal limit of the Croatian Pedagogical Standard, with two schools still running</w:t>
      </w:r>
      <w:r>
        <w:t xml:space="preserve"> </w:t>
      </w:r>
      <w:r>
        <w:rPr>
          <w:b/>
          <w:bCs/>
        </w:rPr>
        <w:t xml:space="preserve">3 shifts per day</w:t>
      </w:r>
      <w:r>
        <w:t xml:space="preserve">, a condition not envisioned in Croatian education law as a permanent arrangement. Meanwhile, schools in the historic city centre and western Split are operating at</w:t>
      </w:r>
      <w:r>
        <w:t xml:space="preserve"> </w:t>
      </w:r>
      <w:r>
        <w:rPr>
          <w:b/>
          <w:bCs/>
        </w:rPr>
        <w:t xml:space="preserve">40–60% of their single-shift capacity</w:t>
      </w:r>
      <w:r>
        <w:t xml:space="preserve">, with classrooms sitting empty each afternoon.</w:t>
      </w:r>
    </w:p>
    <w:p>
      <w:pPr>
        <w:pStyle w:val="BodyText"/>
      </w:pPr>
      <w:r>
        <w:t xml:space="preserve">The standard government response—building 2–3 new schools in the east—is estimated to take until</w:t>
      </w:r>
      <w:r>
        <w:t xml:space="preserve"> </w:t>
      </w:r>
      <w:r>
        <w:rPr>
          <w:b/>
          <w:bCs/>
        </w:rPr>
        <w:t xml:space="preserve">2030 at the earliest</w:t>
      </w:r>
      <w:r>
        <w:t xml:space="preserve"> </w:t>
      </w:r>
      <w:r>
        <w:t xml:space="preserve">and require hundreds of millions of HRK in capital expenditure. The City of Split has already committed €18.2M of NPOO (EU Recovery Fund) money to expand three eastern schools, which will help but will not resolve the imbalance alone.</w:t>
      </w:r>
    </w:p>
    <w:p>
      <w:pPr>
        <w:pStyle w:val="BodyText"/>
      </w:pPr>
      <w:r>
        <w:t xml:space="preserve">This paper proposes a complementary, faster, and significantly cheaper intervention: a</w:t>
      </w:r>
      <w:r>
        <w:t xml:space="preserve"> </w:t>
      </w:r>
      <w:r>
        <w:rPr>
          <w:b/>
          <w:bCs/>
        </w:rPr>
        <w:t xml:space="preserve">dedicated school bus service (</w:t>
      </w:r>
      <w:r>
        <w:rPr>
          <w:b/>
          <w:bCs/>
        </w:rPr>
        <w:t xml:space="preserve">“Yellow Bus”</w:t>
      </w:r>
      <w:r>
        <w:rPr>
          <w:b/>
          <w:bCs/>
        </w:rPr>
        <w:t xml:space="preserve">)</w:t>
      </w:r>
      <w:r>
        <w:t xml:space="preserve"> </w:t>
      </w:r>
      <w:r>
        <w:t xml:space="preserve">that transports a defined number of pupils from overcrowded eastern schools to willing under-enrolled central schools each day, on a voluntary opt-in basis.</w:t>
      </w:r>
    </w:p>
    <w:p>
      <w:pPr>
        <w:pStyle w:val="BodyText"/>
      </w:pPr>
      <w:r>
        <w:rPr>
          <w:b/>
          <w:bCs/>
        </w:rPr>
        <w:t xml:space="preserve">Key enabler:</w:t>
      </w:r>
      <w:r>
        <w:t xml:space="preserve"> </w:t>
      </w:r>
      <w:r>
        <w:t xml:space="preserve">Since September 2025, the City of Split provides</w:t>
      </w:r>
      <w:r>
        <w:t xml:space="preserve"> </w:t>
      </w:r>
      <w:r>
        <w:rPr>
          <w:b/>
          <w:bCs/>
        </w:rPr>
        <w:t xml:space="preserve">free public transport</w:t>
      </w:r>
      <w:r>
        <w:t xml:space="preserve"> </w:t>
      </w:r>
      <w:r>
        <w:t xml:space="preserve">to all pupils with Split residency. The Yellow Bus would extend this principle with a dedicated, reliable vehicle — not a policy leap, but a logical next step on infrastructure already in place.</w:t>
      </w:r>
    </w:p>
    <w:p>
      <w:r>
        <w:pict>
          <v:rect style="width:0;height:1.5pt" o:hralign="center" o:hrstd="t" o:hr="t"/>
        </w:pict>
      </w:r>
    </w:p>
    <w:bookmarkEnd w:id="10"/>
    <w:bookmarkStart w:id="14" w:name="the-problem-a-tale-of-two-cities"/>
    <w:p>
      <w:pPr>
        <w:pStyle w:val="Heading2"/>
      </w:pPr>
      <w:r>
        <w:t xml:space="preserve">2. The Problem: A Tale of Two Cities</w:t>
      </w:r>
    </w:p>
    <w:bookmarkStart w:id="11" w:name="enrollment-data"/>
    <w:p>
      <w:pPr>
        <w:pStyle w:val="Heading3"/>
      </w:pPr>
      <w:r>
        <w:t xml:space="preserve">2.1 Enrollment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Neighbourhood</w:t>
            </w:r>
          </w:p>
        </w:tc>
        <w:tc>
          <w:tcPr/>
          <w:p>
            <w:pPr>
              <w:pStyle w:val="Compact"/>
            </w:pPr>
            <w:r>
              <w:t xml:space="preserve">Est. Enrollment</w:t>
            </w:r>
          </w:p>
        </w:tc>
        <w:tc>
          <w:tcPr/>
          <w:p>
            <w:pPr>
              <w:pStyle w:val="Compact"/>
            </w:pPr>
            <w:r>
              <w:t xml:space="preserve">Shifts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Mejaši</w:t>
            </w:r>
          </w:p>
        </w:tc>
        <w:tc>
          <w:tcPr/>
          <w:p>
            <w:pPr>
              <w:pStyle w:val="Compact"/>
            </w:pPr>
            <w:r>
              <w:t xml:space="preserve">Eastern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~926</w:t>
            </w:r>
          </w:p>
        </w:tc>
        <w:tc>
          <w:tcPr/>
          <w:p>
            <w:pPr>
              <w:pStyle w:val="Compact"/>
            </w:pPr>
            <w:r>
              <w:t xml:space="preserve">3 (lower) / 2 (upper)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Ravne Njive</w:t>
            </w:r>
          </w:p>
        </w:tc>
        <w:tc>
          <w:tcPr/>
          <w:p>
            <w:pPr>
              <w:pStyle w:val="Compact"/>
            </w:pPr>
            <w:r>
              <w:t xml:space="preserve">Eastern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 / unknown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~28+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Sućidar</w:t>
            </w:r>
          </w:p>
        </w:tc>
        <w:tc>
          <w:tcPr/>
          <w:p>
            <w:pPr>
              <w:pStyle w:val="Compact"/>
            </w:pPr>
            <w:r>
              <w:t xml:space="preserve">Eastern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3–4 per grade</w:t>
            </w:r>
          </w:p>
        </w:tc>
        <w:tc>
          <w:tcPr/>
          <w:p>
            <w:pPr>
              <w:pStyle w:val="Compact"/>
            </w:pPr>
            <w:r>
              <w:t xml:space="preserve">Strained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Mertojak</w:t>
            </w:r>
          </w:p>
        </w:tc>
        <w:tc>
          <w:tcPr/>
          <w:p>
            <w:pPr>
              <w:pStyle w:val="Compact"/>
            </w:pPr>
            <w:r>
              <w:t xml:space="preserve">Eastern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~540–659</w:t>
            </w:r>
          </w:p>
        </w:tc>
        <w:tc>
          <w:tcPr/>
          <w:p>
            <w:pPr>
              <w:pStyle w:val="Compact"/>
            </w:pPr>
            <w:r>
              <w:t xml:space="preserve">2 (was 3)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Strained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Plokite</w:t>
            </w:r>
          </w:p>
        </w:tc>
        <w:tc>
          <w:tcPr/>
          <w:p>
            <w:pPr>
              <w:pStyle w:val="Compact"/>
            </w:pPr>
            <w:r>
              <w:t xml:space="preserve">West/Centre</w:t>
            </w:r>
          </w:p>
        </w:tc>
        <w:tc>
          <w:tcPr/>
          <w:p>
            <w:pPr>
              <w:pStyle w:val="Compact"/>
            </w:pPr>
            <w:r>
              <w:t xml:space="preserve">~445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Underused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Lučac</w:t>
            </w:r>
          </w:p>
        </w:tc>
        <w:tc>
          <w:tcPr/>
          <w:p>
            <w:pPr>
              <w:pStyle w:val="Compact"/>
            </w:pPr>
            <w:r>
              <w:t xml:space="preserve">City Centre</w:t>
            </w:r>
          </w:p>
        </w:tc>
        <w:tc>
          <w:tcPr/>
          <w:p>
            <w:pPr>
              <w:pStyle w:val="Compact"/>
            </w:pPr>
            <w:r>
              <w:t xml:space="preserve">391</w:t>
            </w:r>
          </w:p>
        </w:tc>
        <w:tc>
          <w:tcPr/>
          <w:p>
            <w:pPr>
              <w:pStyle w:val="Compact"/>
            </w:pPr>
            <w:r>
              <w:t xml:space="preserve">2 (alternating)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Underused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Dobri</w:t>
            </w:r>
          </w:p>
        </w:tc>
        <w:tc>
          <w:tcPr/>
          <w:p>
            <w:pPr>
              <w:pStyle w:val="Compact"/>
            </w:pPr>
            <w:r>
              <w:t xml:space="preserve">Historic Centre</w:t>
            </w:r>
          </w:p>
        </w:tc>
        <w:tc>
          <w:tcPr/>
          <w:p>
            <w:pPr>
              <w:pStyle w:val="Compact"/>
            </w:pPr>
            <w:r>
              <w:t xml:space="preserve">~264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(likely)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Underused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Meje</w:t>
            </w:r>
          </w:p>
        </w:tc>
        <w:tc>
          <w:tcPr/>
          <w:p>
            <w:pPr>
              <w:pStyle w:val="Compact"/>
            </w:pPr>
            <w:r>
              <w:t xml:space="preserve">Western Split</w:t>
            </w:r>
          </w:p>
        </w:tc>
        <w:tc>
          <w:tcPr/>
          <w:p>
            <w:pPr>
              <w:pStyle w:val="Compact"/>
            </w:pPr>
            <w:r>
              <w:t xml:space="preserve">~362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2 per grade</w:t>
            </w:r>
          </w:p>
        </w:tc>
        <w:tc>
          <w:tcPr/>
          <w:p>
            <w:pPr>
              <w:pStyle w:val="Compact"/>
            </w:pPr>
            <w:r>
              <w:t xml:space="preserve">Underused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Gap:</w:t>
      </w:r>
      <w:r>
        <w:t xml:space="preserve"> </w:t>
      </w:r>
      <w:r>
        <w:t xml:space="preserve">Mejaši alone enrolls more pupils than Dobri, Meje, and Plokite combined.</w:t>
      </w:r>
    </w:p>
    <w:bookmarkEnd w:id="11"/>
    <w:bookmarkStart w:id="12" w:name="X1ae260ea61a61f2800dfd5bf2c3609ee9c72b78"/>
    <w:p>
      <w:pPr>
        <w:pStyle w:val="Heading3"/>
      </w:pPr>
      <w:r>
        <w:t xml:space="preserve">2.2 The Three-Shift School: An Illegal Normality</w:t>
      </w:r>
    </w:p>
    <w:p>
      <w:pPr>
        <w:pStyle w:val="FirstParagraph"/>
      </w:pPr>
      <w:r>
        <w:t xml:space="preserve">Croatian</w:t>
      </w:r>
      <w:r>
        <w:t xml:space="preserve"> </w:t>
      </w:r>
      <w:r>
        <w:rPr>
          <w:b/>
          <w:bCs/>
        </w:rPr>
        <w:t xml:space="preserve">Državni pedagoški standard</w:t>
      </w:r>
      <w:r>
        <w:t xml:space="preserve"> </w:t>
      </w:r>
      <w:r>
        <w:t xml:space="preserve">(NN 63/2008, amended NN 90/2010) sets out: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Maximum sections per school:</w:t>
      </w:r>
      <w:r>
        <w:t xml:space="preserve"> </w:t>
      </w:r>
      <w:r>
        <w:t xml:space="preserve">32 (enabling 2-shift operation)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Three-shift operation:</w:t>
      </w:r>
      <w:r>
        <w:t xml:space="preserve"> </w:t>
      </w:r>
      <w:r>
        <w:t xml:space="preserve">Not defined as a permanent operating model — exists only as a tolerated transitional exception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size maximum:</w:t>
      </w:r>
      <w:r>
        <w:t xml:space="preserve"> </w:t>
      </w:r>
      <w:r>
        <w:t xml:space="preserve">28 pupils; exceptions up to 34 only where there is a single section of that grade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OŠ Mejaši has 39 sections in 17 classrooms</w:t>
      </w:r>
      <w:r>
        <w:t xml:space="preserve"> </w:t>
      </w:r>
      <w:r>
        <w:t xml:space="preserve">— 7 sections above the 2-shift ceiling, requiring a 3rd shift to physically accommodate all classes</w:t>
      </w:r>
    </w:p>
    <w:p>
      <w:pPr>
        <w:pStyle w:val="FirstParagraph"/>
      </w:pPr>
      <w:r>
        <w:t xml:space="preserve">For OŠ Ravne Njive, it was reported as</w:t>
      </w:r>
      <w:r>
        <w:t xml:space="preserve"> </w:t>
      </w:r>
      <w:r>
        <w:rPr>
          <w:b/>
          <w:bCs/>
        </w:rPr>
        <w:t xml:space="preserve">one of only two schools in all of Croatia</w:t>
      </w:r>
      <w:r>
        <w:t xml:space="preserve"> </w:t>
      </w:r>
      <w:r>
        <w:t xml:space="preserve">still operating in 3 shifts as of 2022. This is not a local quirk — it is a national anomaly.</w:t>
      </w:r>
    </w:p>
    <w:bookmarkEnd w:id="12"/>
    <w:bookmarkStart w:id="13" w:name="what-3-shift-schooling-means-in-practice"/>
    <w:p>
      <w:pPr>
        <w:pStyle w:val="Heading3"/>
      </w:pPr>
      <w:r>
        <w:t xml:space="preserve">2.3 What 3-Shift Schooling Means in Practice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Lower-grade children</w:t>
      </w:r>
      <w:r>
        <w:t xml:space="preserve"> </w:t>
      </w:r>
      <w:r>
        <w:t xml:space="preserve">(ages 6–10) start school as late as</w:t>
      </w:r>
      <w:r>
        <w:t xml:space="preserve"> </w:t>
      </w:r>
      <w:r>
        <w:rPr>
          <w:b/>
          <w:bCs/>
        </w:rPr>
        <w:t xml:space="preserve">15:00</w:t>
      </w:r>
      <w:r>
        <w:t xml:space="preserve">, returning home at 19:00</w:t>
      </w:r>
    </w:p>
    <w:p>
      <w:pPr>
        <w:pStyle w:val="Compact"/>
        <w:numPr>
          <w:ilvl w:val="0"/>
          <w:numId w:val="1002"/>
        </w:numPr>
      </w:pPr>
      <w:r>
        <w:t xml:space="preserve">Extracurricular activities, sports, cultural programmes are effectively impossible for afternoon-shift pupils</w:t>
      </w:r>
    </w:p>
    <w:p>
      <w:pPr>
        <w:pStyle w:val="Compact"/>
        <w:numPr>
          <w:ilvl w:val="0"/>
          <w:numId w:val="1002"/>
        </w:numPr>
      </w:pPr>
      <w:r>
        <w:t xml:space="preserve">Teachers work fragmented schedules across 3 sub-groups, reducing coordination and planning quality</w:t>
      </w:r>
    </w:p>
    <w:p>
      <w:pPr>
        <w:pStyle w:val="Compact"/>
        <w:numPr>
          <w:ilvl w:val="0"/>
          <w:numId w:val="1002"/>
        </w:numPr>
      </w:pPr>
      <w:r>
        <w:t xml:space="preserve">School facilities (libraries, labs, gyms) cannot serve all pupils adequately</w:t>
      </w:r>
    </w:p>
    <w:p>
      <w:pPr>
        <w:pStyle w:val="Compact"/>
        <w:numPr>
          <w:ilvl w:val="0"/>
          <w:numId w:val="1002"/>
        </w:numPr>
      </w:pPr>
      <w:r>
        <w:t xml:space="preserve">Parents in dual-income households face a childcare vacuum outside school hours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he-root-cause-demographic-asymmetry"/>
    <w:p>
      <w:pPr>
        <w:pStyle w:val="Heading2"/>
      </w:pPr>
      <w:r>
        <w:t xml:space="preserve">3. The Root Cause: Demographic Asymmetry</w:t>
      </w:r>
    </w:p>
    <w:p>
      <w:pPr>
        <w:pStyle w:val="FirstParagraph"/>
      </w:pPr>
      <w:r>
        <w:t xml:space="preserve">Split’s eastern quarters grew explosively from the 1970s onward — Ravne Njive settlement alone grew to</w:t>
      </w:r>
      <w:r>
        <w:t xml:space="preserve"> </w:t>
      </w:r>
      <w:r>
        <w:rPr>
          <w:b/>
          <w:bCs/>
        </w:rPr>
        <w:t xml:space="preserve">over 9,000 residents</w:t>
      </w:r>
      <w:r>
        <w:t xml:space="preserve">. New residential construction in Kila, Dragovode, and Neslanovac continues today.</w:t>
      </w:r>
    </w:p>
    <w:p>
      <w:pPr>
        <w:pStyle w:val="BodyText"/>
      </w:pPr>
      <w:r>
        <w:t xml:space="preserve">Meanwhile, the historic city centre (Dobri, Lučac) and western Split (Meje, Plokite) follow the pan-European trend of aging populations, higher property prices, and smaller household sizes. Young families simply cannot afford or choose not to live in these areas — but the schools remain.</w:t>
      </w:r>
    </w:p>
    <w:p>
      <w:pPr>
        <w:pStyle w:val="BodyText"/>
      </w:pPr>
      <w:r>
        <w:rPr>
          <w:b/>
          <w:bCs/>
        </w:rPr>
        <w:t xml:space="preserve">This demographic trajectory will not self-correct.</w:t>
      </w:r>
      <w:r>
        <w:t xml:space="preserve"> </w:t>
      </w:r>
      <w:r>
        <w:t xml:space="preserve">Without intervention, eastern schools will continue to enroll more pupils through the 2030s while central schools slowly shrink further.</w:t>
      </w:r>
    </w:p>
    <w:p>
      <w:r>
        <w:pict>
          <v:rect style="width:0;height:1.5pt" o:hralign="center" o:hrstd="t" o:hr="t"/>
        </w:pict>
      </w:r>
    </w:p>
    <w:bookmarkEnd w:id="15"/>
    <w:bookmarkStart w:id="19" w:name="X6aff566d7f2dad2ce81a5e627bb163b358373e3"/>
    <w:p>
      <w:pPr>
        <w:pStyle w:val="Heading2"/>
      </w:pPr>
      <w:r>
        <w:t xml:space="preserve">4. The Current Government Response and Its Limits</w:t>
      </w:r>
    </w:p>
    <w:bookmarkStart w:id="16" w:name="npoo-investment-eu-recovery-funds"/>
    <w:p>
      <w:pPr>
        <w:pStyle w:val="Heading3"/>
      </w:pPr>
      <w:r>
        <w:t xml:space="preserve">4.1 NPOO Investment (EU Recovery Funds)</w:t>
      </w:r>
    </w:p>
    <w:p>
      <w:pPr>
        <w:pStyle w:val="FirstParagraph"/>
      </w:pPr>
      <w:r>
        <w:t xml:space="preserve">The City of Split has secured</w:t>
      </w:r>
      <w:r>
        <w:t xml:space="preserve"> </w:t>
      </w:r>
      <w:r>
        <w:rPr>
          <w:b/>
          <w:bCs/>
        </w:rPr>
        <w:t xml:space="preserve">€18.2 million</w:t>
      </w:r>
      <w:r>
        <w:t xml:space="preserve"> </w:t>
      </w:r>
      <w:r>
        <w:t xml:space="preserve">from the National Recovery and Resilience Plan (NPOO) to expand three schools: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Planned Works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Ravne Njive – Neslanovac</w:t>
            </w:r>
          </w:p>
        </w:tc>
        <w:tc>
          <w:tcPr/>
          <w:p>
            <w:pPr>
              <w:pStyle w:val="Compact"/>
            </w:pPr>
            <w:r>
              <w:t xml:space="preserve">+14 classrooms, +8 subject labs</w:t>
            </w:r>
          </w:p>
        </w:tc>
        <w:tc>
          <w:tcPr/>
          <w:p>
            <w:pPr>
              <w:pStyle w:val="Compact"/>
            </w:pPr>
            <w:r>
              <w:t xml:space="preserve">Single-shift + all-day 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Pujanke</w:t>
            </w:r>
          </w:p>
        </w:tc>
        <w:tc>
          <w:tcPr/>
          <w:p>
            <w:pPr>
              <w:pStyle w:val="Compact"/>
            </w:pPr>
            <w:r>
              <w:t xml:space="preserve">Expansion and modernisation</w:t>
            </w:r>
          </w:p>
        </w:tc>
        <w:tc>
          <w:tcPr/>
          <w:p>
            <w:pPr>
              <w:pStyle w:val="Compact"/>
            </w:pPr>
            <w:r>
              <w:t xml:space="preserve">Single-shift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Split 3</w:t>
            </w:r>
          </w:p>
        </w:tc>
        <w:tc>
          <w:tcPr/>
          <w:p>
            <w:pPr>
              <w:pStyle w:val="Compact"/>
            </w:pPr>
            <w:r>
              <w:t xml:space="preserve">Expansion and modernisation</w:t>
            </w:r>
          </w:p>
        </w:tc>
        <w:tc>
          <w:tcPr/>
          <w:p>
            <w:pPr>
              <w:pStyle w:val="Compact"/>
            </w:pPr>
            <w:r>
              <w:t xml:space="preserve">Single-shift</w:t>
            </w:r>
          </w:p>
        </w:tc>
      </w:tr>
    </w:tbl>
    <w:p>
      <w:pPr>
        <w:pStyle w:val="BodyText"/>
      </w:pPr>
      <w:r>
        <w:t xml:space="preserve">Additionally, a further</w:t>
      </w:r>
      <w:r>
        <w:t xml:space="preserve"> </w:t>
      </w:r>
      <w:r>
        <w:rPr>
          <w:b/>
          <w:bCs/>
        </w:rPr>
        <w:t xml:space="preserve">€16.5M</w:t>
      </w:r>
      <w:r>
        <w:t xml:space="preserve"> </w:t>
      </w:r>
      <w:r>
        <w:t xml:space="preserve">has been committed for the next wave of reconstruction.</w:t>
      </w:r>
    </w:p>
    <w:bookmarkEnd w:id="16"/>
    <w:bookmarkStart w:id="17" w:name="why-this-is-not-enough"/>
    <w:p>
      <w:pPr>
        <w:pStyle w:val="Heading3"/>
      </w:pPr>
      <w:r>
        <w:t xml:space="preserve">4.2 Why This Is Not Enough</w:t>
      </w:r>
    </w:p>
    <w:p>
      <w:pPr>
        <w:pStyle w:val="Compact"/>
        <w:numPr>
          <w:ilvl w:val="0"/>
          <w:numId w:val="1003"/>
        </w:numPr>
      </w:pPr>
      <w:r>
        <w:t xml:space="preserve">Construction timelines:</w:t>
      </w:r>
      <w:r>
        <w:t xml:space="preserve"> </w:t>
      </w:r>
      <w:r>
        <w:rPr>
          <w:b/>
          <w:bCs/>
        </w:rPr>
        <w:t xml:space="preserve">2027–2030</w:t>
      </w:r>
      <w:r>
        <w:t xml:space="preserve"> </w:t>
      </w:r>
      <w:r>
        <w:t xml:space="preserve">at best, contingent on procurement, permits, and execution</w:t>
      </w:r>
    </w:p>
    <w:p>
      <w:pPr>
        <w:pStyle w:val="Compact"/>
        <w:numPr>
          <w:ilvl w:val="0"/>
          <w:numId w:val="1003"/>
        </w:numPr>
      </w:pPr>
      <w:r>
        <w:t xml:space="preserve">OŠ Mejaši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among the NPOO beneficiary schools — its relief depends on a new school being built on the Kila site, a project with no confirmed timeline or funding</w:t>
      </w:r>
    </w:p>
    <w:p>
      <w:pPr>
        <w:pStyle w:val="Compact"/>
        <w:numPr>
          <w:ilvl w:val="0"/>
          <w:numId w:val="1003"/>
        </w:numPr>
      </w:pPr>
      <w:r>
        <w:t xml:space="preserve">Construction addresses supply (more classrooms in the east) but does not address the paradox of</w:t>
      </w:r>
      <w:r>
        <w:t xml:space="preserve"> </w:t>
      </w:r>
      <w:r>
        <w:rPr>
          <w:b/>
          <w:bCs/>
        </w:rPr>
        <w:t xml:space="preserve">empty classrooms sitting 5 km away</w:t>
      </w:r>
      <w:r>
        <w:t xml:space="preserve"> </w:t>
      </w:r>
      <w:r>
        <w:t xml:space="preserve">in the west</w:t>
      </w:r>
    </w:p>
    <w:p>
      <w:pPr>
        <w:pStyle w:val="Compact"/>
        <w:numPr>
          <w:ilvl w:val="0"/>
          <w:numId w:val="1003"/>
        </w:numPr>
      </w:pPr>
      <w:r>
        <w:t xml:space="preserve">The NPOO expansion at Ravne Njive adds 14 classrooms — but the school needs approximately 20–22 to function on a single shift at current enrollment</w:t>
      </w:r>
    </w:p>
    <w:p>
      <w:pPr>
        <w:pStyle w:val="Compact"/>
        <w:numPr>
          <w:ilvl w:val="0"/>
          <w:numId w:val="1003"/>
        </w:numPr>
      </w:pPr>
      <w:r>
        <w:t xml:space="preserve">EU funds come with conditions: scope is fixed, repurposing is not straightforward</w:t>
      </w:r>
    </w:p>
    <w:bookmarkEnd w:id="17"/>
    <w:bookmarkStart w:id="18" w:name="the-single-shift-target"/>
    <w:p>
      <w:pPr>
        <w:pStyle w:val="Heading3"/>
      </w:pPr>
      <w:r>
        <w:t xml:space="preserve">4.3 The Single-Shift Target</w:t>
      </w:r>
    </w:p>
    <w:p>
      <w:pPr>
        <w:pStyle w:val="FirstParagraph"/>
      </w:pPr>
      <w:r>
        <w:t xml:space="preserve">The Croatian Ministry of Education has stated a national target of</w:t>
      </w:r>
      <w:r>
        <w:t xml:space="preserve"> </w:t>
      </w:r>
      <w:r>
        <w:rPr>
          <w:b/>
          <w:bCs/>
        </w:rPr>
        <w:t xml:space="preserve">eliminating multi-shift schooling</w:t>
      </w:r>
      <w:r>
        <w:t xml:space="preserve"> </w:t>
      </w:r>
      <w:r>
        <w:t xml:space="preserve">by approximately 2030. For Split, the city itself has acknowledged this is contingent on</w:t>
      </w:r>
      <w:r>
        <w:t xml:space="preserve"> </w:t>
      </w:r>
      <w:r>
        <w:rPr>
          <w:b/>
          <w:bCs/>
        </w:rPr>
        <w:t xml:space="preserve">2–3 new schools</w:t>
      </w:r>
      <w:r>
        <w:t xml:space="preserve"> </w:t>
      </w:r>
      <w:r>
        <w:t xml:space="preserve">being built in eastern Split — schools that are still in the planning stage.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the-yellow-bus-proposal"/>
    <w:p>
      <w:pPr>
        <w:pStyle w:val="Heading2"/>
      </w:pPr>
      <w:r>
        <w:t xml:space="preserve">5. The Yellow Bus Proposal</w:t>
      </w:r>
    </w:p>
    <w:bookmarkStart w:id="20" w:name="core-concept"/>
    <w:p>
      <w:pPr>
        <w:pStyle w:val="Heading3"/>
      </w:pPr>
      <w:r>
        <w:t xml:space="preserve">5.1 Core Concept</w:t>
      </w:r>
    </w:p>
    <w:p>
      <w:pPr>
        <w:pStyle w:val="FirstParagraph"/>
      </w:pPr>
      <w:r>
        <w:t xml:space="preserve">A dedicated school bus service that,</w:t>
      </w:r>
      <w:r>
        <w:t xml:space="preserve"> </w:t>
      </w:r>
      <w:r>
        <w:rPr>
          <w:b/>
          <w:bCs/>
        </w:rPr>
        <w:t xml:space="preserve">on a voluntary opt-in basis</w:t>
      </w:r>
      <w:r>
        <w:t xml:space="preserve">, transports a defined cohort of pupils from overcrowded eastern schools to under-enrolled central schools each morning, and returns them in the afternoon.</w:t>
      </w:r>
    </w:p>
    <w:p>
      <w:pPr>
        <w:pStyle w:val="BodyText"/>
      </w:pPr>
      <w:r>
        <w:t xml:space="preserve">The service targets primarily</w:t>
      </w:r>
      <w:r>
        <w:t xml:space="preserve"> </w:t>
      </w:r>
      <w:r>
        <w:rPr>
          <w:b/>
          <w:bCs/>
        </w:rPr>
        <w:t xml:space="preserve">lower grades (1–4)</w:t>
      </w:r>
      <w:r>
        <w:t xml:space="preserve">, where 3-shift operation is most acute, where parental escorts are already common, and where pupils are less rigidly tied to peer networks at a single school.</w:t>
      </w:r>
    </w:p>
    <w:bookmarkEnd w:id="20"/>
    <w:bookmarkStart w:id="21" w:name="how-it-would-work"/>
    <w:p>
      <w:pPr>
        <w:pStyle w:val="Heading3"/>
      </w:pPr>
      <w:r>
        <w:t xml:space="preserve">5.2 How It Would Work</w:t>
      </w:r>
    </w:p>
    <w:p>
      <w:pPr>
        <w:pStyle w:val="SourceCode"/>
      </w:pPr>
      <w:r>
        <w:rPr>
          <w:rStyle w:val="VerbatimChar"/>
        </w:rPr>
        <w:t xml:space="preserve">07:30  Bus departs from Mejaši / Ravne Njive pick-up point</w:t>
      </w:r>
      <w:r>
        <w:br/>
      </w:r>
      <w:r>
        <w:rPr>
          <w:rStyle w:val="VerbatimChar"/>
        </w:rPr>
        <w:t xml:space="preserve">08:00  Arrives at OŠ Dobri / OŠ Meje / OŠ Lučac</w:t>
      </w:r>
      <w:r>
        <w:br/>
      </w:r>
      <w:r>
        <w:rPr>
          <w:rStyle w:val="VerbatimChar"/>
        </w:rPr>
        <w:t xml:space="preserve">08:00  School day begins (single shift, standard timetable)</w:t>
      </w:r>
      <w:r>
        <w:br/>
      </w:r>
      <w:r>
        <w:rPr>
          <w:rStyle w:val="VerbatimChar"/>
        </w:rPr>
        <w:t xml:space="preserve">13:00  Bus departs from receiving school</w:t>
      </w:r>
      <w:r>
        <w:br/>
      </w:r>
      <w:r>
        <w:rPr>
          <w:rStyle w:val="VerbatimChar"/>
        </w:rPr>
        <w:t xml:space="preserve">13:30  Pupils returned to eastern Split drop-off point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Route:</w:t>
      </w:r>
      <w:r>
        <w:t xml:space="preserve"> </w:t>
      </w:r>
      <w:r>
        <w:t xml:space="preserve">Eastern pick-up (near school) → Central school → Return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Capacity per bus:</w:t>
      </w:r>
      <w:r>
        <w:t xml:space="preserve"> </w:t>
      </w:r>
      <w:r>
        <w:t xml:space="preserve">50–55 pupils (standard coach)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1 target:</w:t>
      </w:r>
      <w:r>
        <w:t xml:space="preserve"> </w:t>
      </w:r>
      <w:r>
        <w:t xml:space="preserve">2 buses, 100–110 pupils per direction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Schools served (sending):</w:t>
      </w:r>
      <w:r>
        <w:t xml:space="preserve"> </w:t>
      </w:r>
      <w:r>
        <w:t xml:space="preserve">OŠ Mejaši, OŠ Ravne Njive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Schools served (receiving):</w:t>
      </w:r>
      <w:r>
        <w:t xml:space="preserve"> </w:t>
      </w:r>
      <w:r>
        <w:t xml:space="preserve">OŠ Dobri, OŠ Meje, OŠ Lučac</w:t>
      </w:r>
    </w:p>
    <w:bookmarkEnd w:id="21"/>
    <w:bookmarkStart w:id="22" w:name="impact-on-overcrowded-schools"/>
    <w:p>
      <w:pPr>
        <w:pStyle w:val="Heading3"/>
      </w:pPr>
      <w:r>
        <w:t xml:space="preserve">5.3 Impact on Overcrowded Schools</w:t>
      </w:r>
    </w:p>
    <w:p>
      <w:pPr>
        <w:pStyle w:val="FirstParagraph"/>
      </w:pPr>
      <w:r>
        <w:t xml:space="preserve">Transferring 100 pupils from OŠ Mejaši (926 pupils, 39 sections) would:</w:t>
      </w:r>
      <w:r>
        <w:t xml:space="preserve"> </w:t>
      </w:r>
      <w:r>
        <w:t xml:space="preserve">- Allow elimination of approximately</w:t>
      </w:r>
      <w:r>
        <w:t xml:space="preserve"> </w:t>
      </w:r>
      <w:r>
        <w:rPr>
          <w:b/>
          <w:bCs/>
        </w:rPr>
        <w:t xml:space="preserve">3–4 sections</w:t>
      </w:r>
      <w:r>
        <w:t xml:space="preserve"> </w:t>
      </w:r>
      <w:r>
        <w:t xml:space="preserve">from the lower grades</w:t>
      </w:r>
      <w:r>
        <w:t xml:space="preserve"> </w:t>
      </w:r>
      <w:r>
        <w:t xml:space="preserve">- Reduce total sections from 39 to ~35–36, moving below the 2-shift operational ceiling (32)</w:t>
      </w:r>
      <w:r>
        <w:t xml:space="preserve"> </w:t>
      </w:r>
      <w:r>
        <w:t xml:space="preserve">- Enable conversion of lower grades to</w:t>
      </w:r>
      <w:r>
        <w:t xml:space="preserve"> </w:t>
      </w:r>
      <w:r>
        <w:rPr>
          <w:b/>
          <w:bCs/>
        </w:rPr>
        <w:t xml:space="preserve">2 shifts</w:t>
      </w:r>
      <w:r>
        <w:t xml:space="preserve"> </w:t>
      </w:r>
      <w:r>
        <w:t xml:space="preserve">as an immediate interim measure</w:t>
      </w:r>
      <w:r>
        <w:t xml:space="preserve"> </w:t>
      </w:r>
      <w:r>
        <w:t xml:space="preserve">- Reduce class sizes toward the 20-pupil optimal (from the current ~26–28 per section)</w:t>
      </w:r>
    </w:p>
    <w:p>
      <w:pPr>
        <w:pStyle w:val="BodyText"/>
      </w:pPr>
      <w:r>
        <w:t xml:space="preserve">For OŠ Ravne Njive, whose NPOO expansion is approved but not yet built, transferring 50 pupils buys relief during the 2–4 year construction window.</w:t>
      </w:r>
    </w:p>
    <w:bookmarkEnd w:id="22"/>
    <w:bookmarkStart w:id="23" w:name="impact-on-receiving-schools"/>
    <w:p>
      <w:pPr>
        <w:pStyle w:val="Heading3"/>
      </w:pPr>
      <w:r>
        <w:t xml:space="preserve">5.4 Impact on Receiving Schools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Current Enrollment</w:t>
            </w:r>
          </w:p>
        </w:tc>
        <w:tc>
          <w:tcPr/>
          <w:p>
            <w:pPr>
              <w:pStyle w:val="Compact"/>
            </w:pPr>
            <w:r>
              <w:t xml:space="preserve">Spare Capacity (1-shift)</w:t>
            </w:r>
          </w:p>
        </w:tc>
        <w:tc>
          <w:tcPr/>
          <w:p>
            <w:pPr>
              <w:pStyle w:val="Compact"/>
            </w:pPr>
            <w:r>
              <w:t xml:space="preserve">After receiving 25–35 pupils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Dobri</w:t>
            </w:r>
          </w:p>
        </w:tc>
        <w:tc>
          <w:tcPr/>
          <w:p>
            <w:pPr>
              <w:pStyle w:val="Compact"/>
            </w:pPr>
            <w:r>
              <w:t xml:space="preserve">~264</w:t>
            </w:r>
          </w:p>
        </w:tc>
        <w:tc>
          <w:tcPr/>
          <w:p>
            <w:pPr>
              <w:pStyle w:val="Compact"/>
            </w:pPr>
            <w:r>
              <w:t xml:space="preserve">~200+</w:t>
            </w:r>
          </w:p>
        </w:tc>
        <w:tc>
          <w:tcPr/>
          <w:p>
            <w:pPr>
              <w:pStyle w:val="Compact"/>
            </w:pPr>
            <w:r>
              <w:t xml:space="preserve">Still well within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Meje</w:t>
            </w:r>
          </w:p>
        </w:tc>
        <w:tc>
          <w:tcPr/>
          <w:p>
            <w:pPr>
              <w:pStyle w:val="Compact"/>
            </w:pPr>
            <w:r>
              <w:t xml:space="preserve">~362</w:t>
            </w:r>
          </w:p>
        </w:tc>
        <w:tc>
          <w:tcPr/>
          <w:p>
            <w:pPr>
              <w:pStyle w:val="Compact"/>
            </w:pPr>
            <w:r>
              <w:t xml:space="preserve">~100–150</w:t>
            </w:r>
          </w:p>
        </w:tc>
        <w:tc>
          <w:tcPr/>
          <w:p>
            <w:pPr>
              <w:pStyle w:val="Compact"/>
            </w:pPr>
            <w:r>
              <w:t xml:space="preserve">Comfortably within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Lučac</w:t>
            </w:r>
          </w:p>
        </w:tc>
        <w:tc>
          <w:tcPr/>
          <w:p>
            <w:pPr>
              <w:pStyle w:val="Compact"/>
            </w:pPr>
            <w:r>
              <w:t xml:space="preserve">391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Within capacity</w:t>
            </w:r>
          </w:p>
        </w:tc>
      </w:tr>
    </w:tbl>
    <w:p>
      <w:pPr>
        <w:pStyle w:val="BodyText"/>
      </w:pPr>
      <w:r>
        <w:t xml:space="preserve">No expansion required. No new teachers required beyond existing staff ratios — these schools currently have teachers with underutilised hours.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why-now-three-enabling-conditions"/>
    <w:p>
      <w:pPr>
        <w:pStyle w:val="Heading2"/>
      </w:pPr>
      <w:r>
        <w:t xml:space="preserve">6. Why Now: Three Enabling Conditions</w:t>
      </w:r>
    </w:p>
    <w:bookmarkStart w:id="25" w:name="free-public-transport-already-exists"/>
    <w:p>
      <w:pPr>
        <w:pStyle w:val="Heading3"/>
      </w:pPr>
      <w:r>
        <w:t xml:space="preserve">6.1 Free Public Transport Already Exists</w:t>
      </w:r>
    </w:p>
    <w:p>
      <w:pPr>
        <w:pStyle w:val="FirstParagraph"/>
      </w:pPr>
      <w:r>
        <w:t xml:space="preserve">Since</w:t>
      </w:r>
      <w:r>
        <w:t xml:space="preserve"> </w:t>
      </w:r>
      <w:r>
        <w:rPr>
          <w:b/>
          <w:bCs/>
        </w:rPr>
        <w:t xml:space="preserve">September 2025</w:t>
      </w:r>
      <w:r>
        <w:t xml:space="preserve">, the City of Split provides free city bus passes to all pupils with Split residency. The city has already crossed the political Rubicon of publicly-funded pupil transport. A Yellow Bus is the dedicated, reliable, school-timed version of a principle already in law and in practice.</w:t>
      </w:r>
    </w:p>
    <w:p>
      <w:pPr>
        <w:pStyle w:val="BodyText"/>
      </w:pPr>
      <w:r>
        <w:rPr>
          <w:b/>
          <w:bCs/>
        </w:rPr>
        <w:t xml:space="preserve">Cost implication:</w:t>
      </w:r>
      <w:r>
        <w:t xml:space="preserve"> </w:t>
      </w:r>
      <w:r>
        <w:t xml:space="preserve">The marginal political cost of the Yellow Bus is much lower than it would have been pre-2025.</w:t>
      </w:r>
    </w:p>
    <w:bookmarkEnd w:id="25"/>
    <w:bookmarkStart w:id="26" w:name="Xdf13e2fe0c55a0f3376b43c8bfb9f3e04d6154b"/>
    <w:p>
      <w:pPr>
        <w:pStyle w:val="Heading3"/>
      </w:pPr>
      <w:r>
        <w:t xml:space="preserve">6.2 Receiving Schools Have Capacity and Incentive</w:t>
      </w:r>
    </w:p>
    <w:p>
      <w:pPr>
        <w:pStyle w:val="FirstParagraph"/>
      </w:pPr>
      <w:r>
        <w:t xml:space="preserve">OŠ Dobri (264 pupils), OŠ Meje (362 pupils), and OŠ Lučac (391 pupils) all face a long-term demographic decline. Additional enrolled pupils:</w:t>
      </w:r>
      <w:r>
        <w:t xml:space="preserve"> </w:t>
      </w:r>
      <w:r>
        <w:t xml:space="preserve">- Improve per-pupil state funding (capitation grants flow with the child)</w:t>
      </w:r>
      <w:r>
        <w:t xml:space="preserve"> </w:t>
      </w:r>
      <w:r>
        <w:t xml:space="preserve">- Justify maintaining or expanding teaching staff</w:t>
      </w:r>
      <w:r>
        <w:t xml:space="preserve"> </w:t>
      </w:r>
      <w:r>
        <w:t xml:space="preserve">- Improve the school’s position in any future rationalisation decisions</w:t>
      </w:r>
      <w:r>
        <w:t xml:space="preserve"> </w:t>
      </w:r>
      <w:r>
        <w:t xml:space="preserve">- Enrich classroom diversity and peer-group size</w:t>
      </w:r>
    </w:p>
    <w:p>
      <w:pPr>
        <w:pStyle w:val="BodyText"/>
      </w:pPr>
      <w:r>
        <w:t xml:space="preserve">School directors in the centre have an institutional interest in cooperating.</w:t>
      </w:r>
    </w:p>
    <w:bookmarkEnd w:id="26"/>
    <w:bookmarkStart w:id="27" w:name="X77ddba4e63c6c3a50dd64c162b96ab32a1dfe06"/>
    <w:p>
      <w:pPr>
        <w:pStyle w:val="Heading3"/>
      </w:pPr>
      <w:r>
        <w:t xml:space="preserve">6.3 NPOO Construction Provides the Long-Term Fix</w:t>
      </w:r>
    </w:p>
    <w:p>
      <w:pPr>
        <w:pStyle w:val="FirstParagraph"/>
      </w:pPr>
      <w:r>
        <w:t xml:space="preserve">The Yellow Bus is not a permanent solution — it is a</w:t>
      </w:r>
      <w:r>
        <w:t xml:space="preserve"> </w:t>
      </w:r>
      <w:r>
        <w:rPr>
          <w:b/>
          <w:bCs/>
        </w:rPr>
        <w:t xml:space="preserve">bridge measure</w:t>
      </w:r>
      <w:r>
        <w:t xml:space="preserve"> </w:t>
      </w:r>
      <w:r>
        <w:t xml:space="preserve">that buys 3–5 years while NPOO-funded expansion is completed. This framing is politically easier to sell: it is not</w:t>
      </w:r>
      <w:r>
        <w:t xml:space="preserve"> </w:t>
      </w:r>
      <w:r>
        <w:t xml:space="preserve">“busing children away from their neighbourhood schools permanently,”</w:t>
      </w:r>
      <w:r>
        <w:t xml:space="preserve"> </w:t>
      </w:r>
      <w:r>
        <w:t xml:space="preserve">it is</w:t>
      </w:r>
      <w:r>
        <w:t xml:space="preserve"> </w:t>
      </w:r>
      <w:r>
        <w:t xml:space="preserve">“easing overcrowding while we build the infrastructure that fixes it properly.”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ost-estimate"/>
    <w:p>
      <w:pPr>
        <w:pStyle w:val="Heading2"/>
      </w:pPr>
      <w:r>
        <w:t xml:space="preserve">7. Cost Estimate</w:t>
      </w:r>
    </w:p>
    <w:bookmarkStart w:id="29" w:name="capital-costs"/>
    <w:p>
      <w:pPr>
        <w:pStyle w:val="Heading3"/>
      </w:pPr>
      <w:r>
        <w:t xml:space="preserve">7.1 Capital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dedicated buses (purchased)</w:t>
            </w:r>
          </w:p>
        </w:tc>
        <w:tc>
          <w:tcPr/>
          <w:p>
            <w:pPr>
              <w:pStyle w:val="Compact"/>
            </w:pPr>
            <w:r>
              <w:t xml:space="preserve">€180,000–€240,000</w:t>
            </w:r>
          </w:p>
        </w:tc>
        <w:tc>
          <w:tcPr/>
          <w:p>
            <w:pPr>
              <w:pStyle w:val="Compact"/>
            </w:pPr>
            <w:r>
              <w:t xml:space="preserve">Standard 50-seat school coach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Alternatively: leased from operator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See operating 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/ communication equipment</w:t>
            </w:r>
          </w:p>
        </w:tc>
        <w:tc>
          <w:tcPr/>
          <w:p>
            <w:pPr>
              <w:pStyle w:val="Compact"/>
            </w:pPr>
            <w:r>
              <w:t xml:space="preserve">€5,000</w:t>
            </w:r>
          </w:p>
        </w:tc>
        <w:tc>
          <w:tcPr/>
          <w:p>
            <w:pPr>
              <w:pStyle w:val="Compact"/>
            </w:pPr>
            <w:r>
              <w:t xml:space="preserve">Per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stop infrastructure (if needed)</w:t>
            </w:r>
          </w:p>
        </w:tc>
        <w:tc>
          <w:tcPr/>
          <w:p>
            <w:pPr>
              <w:pStyle w:val="Compact"/>
            </w:pPr>
            <w:r>
              <w:t xml:space="preserve">€10,000–€20,000</w:t>
            </w:r>
          </w:p>
        </w:tc>
        <w:tc>
          <w:tcPr/>
          <w:p>
            <w:pPr>
              <w:pStyle w:val="Compact"/>
            </w:pPr>
            <w:r>
              <w:t xml:space="preserve">Eastern pick-up points</w:t>
            </w:r>
          </w:p>
        </w:tc>
      </w:tr>
    </w:tbl>
    <w:bookmarkEnd w:id="29"/>
    <w:bookmarkStart w:id="30" w:name="annual-operating-costs"/>
    <w:p>
      <w:pPr>
        <w:pStyle w:val="Heading3"/>
      </w:pPr>
      <w:r>
        <w:t xml:space="preserve">7.2 Annual Operating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Est. Annual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salaries (2 drivers × full-time)</w:t>
            </w:r>
          </w:p>
        </w:tc>
        <w:tc>
          <w:tcPr/>
          <w:p>
            <w:pPr>
              <w:pStyle w:val="Compact"/>
            </w:pPr>
            <w:r>
              <w:t xml:space="preserve">€40,000–€50,000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(2 buses × ~60 km/day × 180 school days)</w:t>
            </w:r>
          </w:p>
        </w:tc>
        <w:tc>
          <w:tcPr/>
          <w:p>
            <w:pPr>
              <w:pStyle w:val="Compact"/>
            </w:pPr>
            <w:r>
              <w:t xml:space="preserve">€15,000–€20,000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and insurance</w:t>
            </w:r>
          </w:p>
        </w:tc>
        <w:tc>
          <w:tcPr/>
          <w:p>
            <w:pPr>
              <w:pStyle w:val="Compact"/>
            </w:pPr>
            <w:r>
              <w:t xml:space="preserve">€10,000–€15,000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 / coordination</w:t>
            </w:r>
          </w:p>
        </w:tc>
        <w:tc>
          <w:tcPr/>
          <w:p>
            <w:pPr>
              <w:pStyle w:val="Compact"/>
            </w:pPr>
            <w:r>
              <w:t xml:space="preserve">€5,000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 operating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~€70,000–€90,000/year</w:t>
            </w:r>
          </w:p>
        </w:tc>
      </w:tr>
    </w:tbl>
    <w:bookmarkEnd w:id="30"/>
    <w:bookmarkStart w:id="31" w:name="comparison-the-alternative"/>
    <w:p>
      <w:pPr>
        <w:pStyle w:val="Heading3"/>
      </w:pPr>
      <w:r>
        <w:t xml:space="preserve">7.3 Comparison: The Alternative</w:t>
      </w:r>
    </w:p>
    <w:p>
      <w:pPr>
        <w:pStyle w:val="FirstParagraph"/>
      </w:pPr>
      <w:r>
        <w:t xml:space="preserve">Building</w:t>
      </w:r>
      <w:r>
        <w:t xml:space="preserve"> </w:t>
      </w:r>
      <w:r>
        <w:rPr>
          <w:b/>
          <w:bCs/>
        </w:rPr>
        <w:t xml:space="preserve">one new school</w:t>
      </w:r>
      <w:r>
        <w:t xml:space="preserve"> </w:t>
      </w:r>
      <w:r>
        <w:t xml:space="preserve">in eastern Split:</w:t>
      </w:r>
      <w:r>
        <w:t xml:space="preserve"> </w:t>
      </w:r>
      <w:r>
        <w:t xml:space="preserve">- Estimated cost:</w:t>
      </w:r>
      <w:r>
        <w:t xml:space="preserve"> </w:t>
      </w:r>
      <w:r>
        <w:rPr>
          <w:b/>
          <w:bCs/>
        </w:rPr>
        <w:t xml:space="preserve">€8–15 million</w:t>
      </w:r>
      <w:r>
        <w:t xml:space="preserve"> </w:t>
      </w:r>
      <w:r>
        <w:t xml:space="preserve">(based on comparable Croatian school construction)</w:t>
      </w:r>
      <w:r>
        <w:t xml:space="preserve"> </w:t>
      </w:r>
      <w:r>
        <w:t xml:space="preserve">- Timeline: 5–8 years from planning to occupancy</w:t>
      </w:r>
      <w:r>
        <w:t xml:space="preserve"> </w:t>
      </w:r>
      <w:r>
        <w:t xml:space="preserve">- Annual maintenance: additional operating budget</w:t>
      </w:r>
    </w:p>
    <w:p>
      <w:pPr>
        <w:pStyle w:val="BodyText"/>
      </w:pPr>
      <w:r>
        <w:rPr>
          <w:b/>
          <w:bCs/>
        </w:rPr>
        <w:t xml:space="preserve">The Yellow Bus costs ~€90,000/year</w:t>
      </w:r>
      <w:r>
        <w:t xml:space="preserve"> </w:t>
      </w:r>
      <w:r>
        <w:t xml:space="preserve">— less than</w:t>
      </w:r>
      <w:r>
        <w:t xml:space="preserve"> </w:t>
      </w:r>
      <w:r>
        <w:rPr>
          <w:b/>
          <w:bCs/>
        </w:rPr>
        <w:t xml:space="preserve">1% of the cost of a new school</w:t>
      </w:r>
      <w:r>
        <w:t xml:space="preserve"> </w:t>
      </w:r>
      <w:r>
        <w:t xml:space="preserve">— while providing immediate relief during the construction gap.</w:t>
      </w:r>
    </w:p>
    <w:p>
      <w:pPr>
        <w:pStyle w:val="BodyText"/>
      </w:pPr>
      <w:r>
        <w:t xml:space="preserve">Even if the Yellow Bus operates for 5 years as a bridge, total cost is ~€500,000 (including purchase). Compared to €10M+ for a new school, this is a 95%+ cost saving for interim relief.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addressing-concerns"/>
    <w:p>
      <w:pPr>
        <w:pStyle w:val="Heading2"/>
      </w:pPr>
      <w:r>
        <w:t xml:space="preserve">8. Addressing Concerns</w:t>
      </w:r>
    </w:p>
    <w:bookmarkStart w:id="33" w:name="X9545204ded8540a21535361957365c1c66febbf"/>
    <w:p>
      <w:pPr>
        <w:pStyle w:val="Heading3"/>
      </w:pPr>
      <w:r>
        <w:t xml:space="preserve">8.1</w:t>
      </w:r>
      <w:r>
        <w:t xml:space="preserve"> </w:t>
      </w:r>
      <w:r>
        <w:t xml:space="preserve">“Parents won’t agree to send young children across the city”</w:t>
      </w:r>
    </w:p>
    <w:p>
      <w:pPr>
        <w:pStyle w:val="Compact"/>
        <w:numPr>
          <w:ilvl w:val="0"/>
          <w:numId w:val="1005"/>
        </w:numPr>
      </w:pPr>
      <w:r>
        <w:t xml:space="preserve">Participation is</w:t>
      </w:r>
      <w:r>
        <w:t xml:space="preserve"> </w:t>
      </w:r>
      <w:r>
        <w:rPr>
          <w:b/>
          <w:bCs/>
        </w:rPr>
        <w:t xml:space="preserve">entirely voluntary</w:t>
      </w:r>
      <w:r>
        <w:t xml:space="preserve"> </w:t>
      </w:r>
      <w:r>
        <w:t xml:space="preserve">— no family is compelled</w:t>
      </w:r>
    </w:p>
    <w:p>
      <w:pPr>
        <w:pStyle w:val="Compact"/>
        <w:numPr>
          <w:ilvl w:val="0"/>
          <w:numId w:val="1005"/>
        </w:numPr>
      </w:pPr>
      <w:r>
        <w:t xml:space="preserve">Lower grades already have accompanied pick-up by parents; the bus stop serves as the rendezvous point</w:t>
      </w:r>
    </w:p>
    <w:p>
      <w:pPr>
        <w:pStyle w:val="Compact"/>
        <w:numPr>
          <w:ilvl w:val="0"/>
          <w:numId w:val="1005"/>
        </w:numPr>
      </w:pPr>
      <w:r>
        <w:t xml:space="preserve">The route is short (Split is compact — eastern schools to the centre is 5–8 km)</w:t>
      </w:r>
    </w:p>
    <w:p>
      <w:pPr>
        <w:pStyle w:val="Compact"/>
        <w:numPr>
          <w:ilvl w:val="0"/>
          <w:numId w:val="1005"/>
        </w:numPr>
      </w:pPr>
      <w:r>
        <w:t xml:space="preserve">Incentive: children transfer to a</w:t>
      </w:r>
      <w:r>
        <w:t xml:space="preserve"> </w:t>
      </w:r>
      <w:r>
        <w:rPr>
          <w:b/>
          <w:bCs/>
        </w:rPr>
        <w:t xml:space="preserve">single-shift school</w:t>
      </w:r>
      <w:r>
        <w:t xml:space="preserve">, meaning they are home by 13:30 instead of 19:00</w:t>
      </w:r>
    </w:p>
    <w:bookmarkEnd w:id="33"/>
    <w:bookmarkStart w:id="34" w:name="Xc7aca282bef2ca714b49c3ae208df6ef28e2cd9"/>
    <w:p>
      <w:pPr>
        <w:pStyle w:val="Heading3"/>
      </w:pPr>
      <w:r>
        <w:t xml:space="preserve">8.2</w:t>
      </w:r>
      <w:r>
        <w:t xml:space="preserve"> </w:t>
      </w:r>
      <w:r>
        <w:t xml:space="preserve">“Children should attend their neighbourhood school”</w:t>
      </w:r>
    </w:p>
    <w:p>
      <w:pPr>
        <w:pStyle w:val="Compact"/>
        <w:numPr>
          <w:ilvl w:val="0"/>
          <w:numId w:val="1006"/>
        </w:numPr>
      </w:pPr>
      <w:r>
        <w:t xml:space="preserve">Croatian law does not mandate catchment-area enrollment — parents already have the right to enroll children in any school</w:t>
      </w:r>
    </w:p>
    <w:p>
      <w:pPr>
        <w:pStyle w:val="Compact"/>
        <w:numPr>
          <w:ilvl w:val="0"/>
          <w:numId w:val="1006"/>
        </w:numPr>
      </w:pPr>
      <w:r>
        <w:t xml:space="preserve">The Yellow Bus does not displace neighbourhood children — it provides an</w:t>
      </w:r>
      <w:r>
        <w:t xml:space="preserve"> </w:t>
      </w:r>
      <w:r>
        <w:rPr>
          <w:b/>
          <w:bCs/>
        </w:rPr>
        <w:t xml:space="preserve">option</w:t>
      </w:r>
      <w:r>
        <w:t xml:space="preserve"> </w:t>
      </w:r>
      <w:r>
        <w:t xml:space="preserve">to families who choose quality-of-education (single shift, smaller class) over proximity</w:t>
      </w:r>
    </w:p>
    <w:p>
      <w:pPr>
        <w:pStyle w:val="Compact"/>
        <w:numPr>
          <w:ilvl w:val="0"/>
          <w:numId w:val="1006"/>
        </w:numPr>
      </w:pPr>
      <w:r>
        <w:t xml:space="preserve">Neighbourhood identity is built in residential areas, not school buildings</w:t>
      </w:r>
    </w:p>
    <w:bookmarkEnd w:id="34"/>
    <w:bookmarkStart w:id="35" w:name="this-is-a-band-aid-not-a-real-solution"/>
    <w:p>
      <w:pPr>
        <w:pStyle w:val="Heading3"/>
      </w:pPr>
      <w:r>
        <w:t xml:space="preserve">8.3</w:t>
      </w:r>
      <w:r>
        <w:t xml:space="preserve"> </w:t>
      </w:r>
      <w:r>
        <w:t xml:space="preserve">“This is a Band-Aid, not a real solution”</w:t>
      </w:r>
    </w:p>
    <w:p>
      <w:pPr>
        <w:pStyle w:val="Compact"/>
        <w:numPr>
          <w:ilvl w:val="0"/>
          <w:numId w:val="1007"/>
        </w:numPr>
      </w:pPr>
      <w:r>
        <w:t xml:space="preserve">Correct — it is explicitly a</w:t>
      </w:r>
      <w:r>
        <w:t xml:space="preserve"> </w:t>
      </w:r>
      <w:r>
        <w:rPr>
          <w:b/>
          <w:bCs/>
        </w:rPr>
        <w:t xml:space="preserve">bridge measure</w:t>
      </w:r>
      <w:r>
        <w:t xml:space="preserve">, not a substitute for construction</w:t>
      </w:r>
    </w:p>
    <w:p>
      <w:pPr>
        <w:pStyle w:val="Compact"/>
        <w:numPr>
          <w:ilvl w:val="0"/>
          <w:numId w:val="1007"/>
        </w:numPr>
      </w:pPr>
      <w:r>
        <w:t xml:space="preserve">The NPOO programme already provides the structural solution; the Yellow Bus provides interim relief</w:t>
      </w:r>
    </w:p>
    <w:p>
      <w:pPr>
        <w:pStyle w:val="Compact"/>
        <w:numPr>
          <w:ilvl w:val="0"/>
          <w:numId w:val="1007"/>
        </w:numPr>
      </w:pPr>
      <w:r>
        <w:t xml:space="preserve">The Croatian Ministry of Education’s 2030 single-shift target needs all tools available — building alone will not be sufficient in time</w:t>
      </w:r>
    </w:p>
    <w:bookmarkEnd w:id="35"/>
    <w:bookmarkStart w:id="36" w:name="logistical-complexity"/>
    <w:p>
      <w:pPr>
        <w:pStyle w:val="Heading3"/>
      </w:pPr>
      <w:r>
        <w:t xml:space="preserve">8.4</w:t>
      </w:r>
      <w:r>
        <w:t xml:space="preserve"> </w:t>
      </w:r>
      <w:r>
        <w:t xml:space="preserve">“Logistical complexity”</w:t>
      </w:r>
    </w:p>
    <w:p>
      <w:pPr>
        <w:pStyle w:val="Compact"/>
        <w:numPr>
          <w:ilvl w:val="0"/>
          <w:numId w:val="1008"/>
        </w:numPr>
      </w:pPr>
      <w:r>
        <w:t xml:space="preserve">Split is a compact city; eastern schools to central schools is a 15-minute drive</w:t>
      </w:r>
    </w:p>
    <w:p>
      <w:pPr>
        <w:pStyle w:val="Compact"/>
        <w:numPr>
          <w:ilvl w:val="0"/>
          <w:numId w:val="1008"/>
        </w:numPr>
      </w:pPr>
      <w:r>
        <w:t xml:space="preserve">Promet Split already operates coordinated transit in the city — operational expertise exists</w:t>
      </w:r>
    </w:p>
    <w:p>
      <w:pPr>
        <w:pStyle w:val="Compact"/>
        <w:numPr>
          <w:ilvl w:val="0"/>
          <w:numId w:val="1008"/>
        </w:numPr>
      </w:pPr>
      <w:r>
        <w:t xml:space="preserve">A phased pilot (1 bus, 1 route, 1 receiving school) limits initial complexity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implementation-roadmap"/>
    <w:p>
      <w:pPr>
        <w:pStyle w:val="Heading2"/>
      </w:pPr>
      <w:r>
        <w:t xml:space="preserve">9. Implementation Roadmap</w:t>
      </w:r>
    </w:p>
    <w:bookmarkStart w:id="38" w:name="phase-1-pilot-academic-year-202627"/>
    <w:p>
      <w:pPr>
        <w:pStyle w:val="Heading3"/>
      </w:pPr>
      <w:r>
        <w:t xml:space="preserve">Phase 1 — Pilot (Academic Year 2026/27)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council decision and budget allocation</w:t>
            </w:r>
          </w:p>
        </w:tc>
        <w:tc>
          <w:tcPr/>
          <w:p>
            <w:pPr>
              <w:pStyle w:val="Compact"/>
            </w:pPr>
            <w:r>
              <w:t xml:space="preserve">Jun–Sep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director agreements (Mejaši + Dobri/Meje)</w:t>
            </w:r>
          </w:p>
        </w:tc>
        <w:tc>
          <w:tcPr/>
          <w:p>
            <w:pPr>
              <w:pStyle w:val="Compact"/>
            </w:pPr>
            <w:r>
              <w:t xml:space="preserve">Sep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Voluntary enrollment open to lower-grade families at Mejaši</w:t>
            </w:r>
          </w:p>
        </w:tc>
        <w:tc>
          <w:tcPr/>
          <w:p>
            <w:pPr>
              <w:pStyle w:val="Compact"/>
            </w:pPr>
            <w:r>
              <w:t xml:space="preserve">Sep–Oct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procurement or lease contract</w:t>
            </w:r>
          </w:p>
        </w:tc>
        <w:tc>
          <w:tcPr/>
          <w:p>
            <w:pPr>
              <w:pStyle w:val="Compact"/>
            </w:pPr>
            <w:r>
              <w:t xml:space="preserve">Oct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launch: 1 bus, 1 route, ~50 pupils</w:t>
            </w:r>
          </w:p>
        </w:tc>
        <w:tc>
          <w:tcPr/>
          <w:p>
            <w:pPr>
              <w:pStyle w:val="Compact"/>
            </w:pPr>
            <w:r>
              <w:t xml:space="preserve">Jan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Mid-year evaluation</w:t>
            </w:r>
          </w:p>
        </w:tc>
        <w:tc>
          <w:tcPr/>
          <w:p>
            <w:pPr>
              <w:pStyle w:val="Compact"/>
            </w:pPr>
            <w:r>
              <w:t xml:space="preserve">Jun 2027</w:t>
            </w:r>
          </w:p>
        </w:tc>
      </w:tr>
    </w:tbl>
    <w:bookmarkEnd w:id="38"/>
    <w:bookmarkStart w:id="39" w:name="phase-2-scale-academic-year-202728"/>
    <w:p>
      <w:pPr>
        <w:pStyle w:val="Heading3"/>
      </w:pPr>
      <w:r>
        <w:t xml:space="preserve">Phase 2 — Scale (Academic Year 2027/28)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second bus and route (Ravne Njive → Lučac/Meje)</w:t>
            </w:r>
          </w:p>
        </w:tc>
        <w:tc>
          <w:tcPr/>
          <w:p>
            <w:pPr>
              <w:pStyle w:val="Compact"/>
            </w:pPr>
            <w:r>
              <w:t xml:space="preserve">Sep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 to upper primary grades (5–8) if demand exists</w:t>
            </w:r>
          </w:p>
        </w:tc>
        <w:tc>
          <w:tcPr/>
          <w:p>
            <w:pPr>
              <w:pStyle w:val="Compact"/>
            </w:pPr>
            <w:r>
              <w:t xml:space="preserve">Sep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with NPOO construction schedule review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End w:id="39"/>
    <w:bookmarkStart w:id="40" w:name="phase-3-review-and-transition"/>
    <w:p>
      <w:pPr>
        <w:pStyle w:val="Heading3"/>
      </w:pPr>
      <w:r>
        <w:t xml:space="preserve">Phase 3 — Review and Transition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NPOO-funded expansions complete</w:t>
            </w:r>
          </w:p>
        </w:tc>
        <w:tc>
          <w:tcPr/>
          <w:p>
            <w:pPr>
              <w:pStyle w:val="Compact"/>
            </w:pPr>
            <w:r>
              <w:t xml:space="preserve">2028–2030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Reassess redistribution need vs. new capacity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 down or repurpose buses as construction relieves pressure</w:t>
            </w:r>
          </w:p>
        </w:tc>
        <w:tc>
          <w:tcPr/>
          <w:p>
            <w:pPr>
              <w:pStyle w:val="Compact"/>
            </w:pPr>
            <w:r>
              <w:t xml:space="preserve">2030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stakeholder-map"/>
    <w:p>
      <w:pPr>
        <w:pStyle w:val="Heading2"/>
      </w:pPr>
      <w:r>
        <w:t xml:space="preserve">10. Stakeholder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of Split (Grad Split)</w:t>
            </w:r>
          </w:p>
        </w:tc>
        <w:tc>
          <w:tcPr/>
          <w:p>
            <w:pPr>
              <w:pStyle w:val="Compact"/>
            </w:pPr>
            <w:r>
              <w:t xml:space="preserve">Key decision-maker</w:t>
            </w:r>
          </w:p>
        </w:tc>
        <w:tc>
          <w:tcPr/>
          <w:p>
            <w:pPr>
              <w:pStyle w:val="Compact"/>
            </w:pPr>
            <w:r>
              <w:t xml:space="preserve">Budget, political will,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Ministry of Education (MZO)</w:t>
            </w:r>
          </w:p>
        </w:tc>
        <w:tc>
          <w:tcPr/>
          <w:p>
            <w:pPr>
              <w:pStyle w:val="Compact"/>
            </w:pPr>
            <w:r>
              <w:t xml:space="preserve">Regulatory authority</w:t>
            </w:r>
          </w:p>
        </w:tc>
        <w:tc>
          <w:tcPr/>
          <w:p>
            <w:pPr>
              <w:pStyle w:val="Compact"/>
            </w:pPr>
            <w:r>
              <w:t xml:space="preserve">Approval for cross-catchment enrollment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Directors (eastern)</w:t>
            </w:r>
          </w:p>
        </w:tc>
        <w:tc>
          <w:tcPr/>
          <w:p>
            <w:pPr>
              <w:pStyle w:val="Compact"/>
            </w:pPr>
            <w:r>
              <w:t xml:space="preserve">Likely supportive — relieves pressure</w:t>
            </w:r>
          </w:p>
        </w:tc>
        <w:tc>
          <w:tcPr/>
          <w:p>
            <w:pPr>
              <w:pStyle w:val="Compact"/>
            </w:pPr>
            <w:r>
              <w:t xml:space="preserve">Cooperation, identification of volunteer families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Directors (central)</w:t>
            </w:r>
          </w:p>
        </w:tc>
        <w:tc>
          <w:tcPr/>
          <w:p>
            <w:pPr>
              <w:pStyle w:val="Compact"/>
            </w:pPr>
            <w:r>
              <w:t xml:space="preserve">Likely supportive — gains enrollment</w:t>
            </w:r>
          </w:p>
        </w:tc>
        <w:tc>
          <w:tcPr/>
          <w:p>
            <w:pPr>
              <w:pStyle w:val="Compact"/>
            </w:pPr>
            <w:r>
              <w:t xml:space="preserve">Cooperation, capacity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Parents (eastern schools)</w:t>
            </w:r>
          </w:p>
        </w:tc>
        <w:tc>
          <w:tcPr/>
          <w:p>
            <w:pPr>
              <w:pStyle w:val="Compact"/>
            </w:pPr>
            <w:r>
              <w:t xml:space="preserve">Voluntary participants</w:t>
            </w:r>
          </w:p>
        </w:tc>
        <w:tc>
          <w:tcPr/>
          <w:p>
            <w:pPr>
              <w:pStyle w:val="Compact"/>
            </w:pPr>
            <w:r>
              <w:t xml:space="preserve">Informed consent, opt-in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 Split</w:t>
            </w:r>
          </w:p>
        </w:tc>
        <w:tc>
          <w:tcPr/>
          <w:p>
            <w:pPr>
              <w:pStyle w:val="Compact"/>
            </w:pPr>
            <w:r>
              <w:t xml:space="preserve">Potential operator</w:t>
            </w:r>
          </w:p>
        </w:tc>
        <w:tc>
          <w:tcPr/>
          <w:p>
            <w:pPr>
              <w:pStyle w:val="Compact"/>
            </w:pPr>
            <w:r>
              <w:t xml:space="preserve">Operational delivery, driver 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Croatian media</w:t>
            </w:r>
          </w:p>
        </w:tc>
        <w:tc>
          <w:tcPr/>
          <w:p>
            <w:pPr>
              <w:pStyle w:val="Compact"/>
            </w:pPr>
            <w:r>
              <w:t xml:space="preserve">Amplifier</w:t>
            </w:r>
          </w:p>
        </w:tc>
        <w:tc>
          <w:tcPr/>
          <w:p>
            <w:pPr>
              <w:pStyle w:val="Compact"/>
            </w:pPr>
            <w:r>
              <w:t xml:space="preserve">Already covers 3-shift schools negatively — framing opportunity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recedents"/>
    <w:p>
      <w:pPr>
        <w:pStyle w:val="Heading2"/>
      </w:pPr>
      <w:r>
        <w:t xml:space="preserve">11. Precedents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United States:</w:t>
      </w:r>
      <w:r>
        <w:t xml:space="preserve"> </w:t>
      </w:r>
      <w:r>
        <w:t xml:space="preserve">The school bus system is the backbone of public education redistribution, transporting ~26 million children daily. The model originated specifically to equalize access across geography.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Germany (Schulbus):</w:t>
      </w:r>
      <w:r>
        <w:t xml:space="preserve"> </w:t>
      </w:r>
      <w:r>
        <w:t xml:space="preserve">Rural and suburban dedicated buses are standard; some Länder use redistribution to manage enrollment imbalances between schools.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Zagreb, Croatia:</w:t>
      </w:r>
      <w:r>
        <w:t xml:space="preserve"> </w:t>
      </w:r>
      <w:r>
        <w:t xml:space="preserve">School transport exists for certain rural-to-urban routes; no precedent for intra-urban redistribution —</w:t>
      </w:r>
      <w:r>
        <w:t xml:space="preserve"> </w:t>
      </w:r>
      <w:r>
        <w:rPr>
          <w:b/>
          <w:bCs/>
        </w:rPr>
        <w:t xml:space="preserve">Split would be first in Croatia.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Split 2025:</w:t>
      </w:r>
      <w:r>
        <w:t xml:space="preserve"> </w:t>
      </w:r>
      <w:r>
        <w:t xml:space="preserve">Free universal student public transport already introduced — the political and administrative precedent for city-funded pupil transport exists locally.</w:t>
      </w:r>
    </w:p>
    <w:p>
      <w:r>
        <w:pict>
          <v:rect style="width:0;height:1.5pt" o:hralign="center" o:hrstd="t" o:hr="t"/>
        </w:pict>
      </w:r>
    </w:p>
    <w:bookmarkEnd w:id="43"/>
    <w:bookmarkStart w:id="44" w:name="recommendations"/>
    <w:p>
      <w:pPr>
        <w:pStyle w:val="Heading2"/>
      </w:pPr>
      <w:r>
        <w:t xml:space="preserve">12. Recommendations</w:t>
      </w:r>
    </w:p>
    <w:p>
      <w:pPr>
        <w:pStyle w:val="FirstParagraph"/>
      </w:pPr>
      <w:r>
        <w:rPr>
          <w:b/>
          <w:bCs/>
        </w:rPr>
        <w:t xml:space="preserve">Short term (2026):</w:t>
      </w:r>
      <w:r>
        <w:t xml:space="preserve"> </w:t>
      </w:r>
      <w:r>
        <w:t xml:space="preserve">1. Commission a formal feasibility study (route, capacity, demand survey among Mejaši and Ravne Njive families)</w:t>
      </w:r>
      <w:r>
        <w:t xml:space="preserve"> </w:t>
      </w:r>
      <w:r>
        <w:t xml:space="preserve">2. Open dialogue with directors of OŠ Dobri and OŠ Meje on capacity and willingness</w:t>
      </w:r>
      <w:r>
        <w:t xml:space="preserve"> </w:t>
      </w:r>
      <w:r>
        <w:t xml:space="preserve">3. Include Yellow Bus as a line item in the 2027 city education budget</w:t>
      </w:r>
    </w:p>
    <w:p>
      <w:pPr>
        <w:pStyle w:val="BodyText"/>
      </w:pPr>
      <w:r>
        <w:rPr>
          <w:b/>
          <w:bCs/>
        </w:rPr>
        <w:t xml:space="preserve">Medium term (2027–2028):</w:t>
      </w:r>
      <w:r>
        <w:t xml:space="preserve"> </w:t>
      </w:r>
      <w:r>
        <w:t xml:space="preserve">4. Launch pilot with 1 bus, voluntary opt-in, lower grades only</w:t>
      </w:r>
      <w:r>
        <w:t xml:space="preserve"> </w:t>
      </w:r>
      <w:r>
        <w:t xml:space="preserve">5. Monitor and publish impact metrics: class sizes, shift reduction, parental satisfaction</w:t>
      </w:r>
      <w:r>
        <w:t xml:space="preserve"> </w:t>
      </w:r>
      <w:r>
        <w:t xml:space="preserve">6. Present pilot results to Ministry of Education as a model for other Croatian cities</w:t>
      </w:r>
    </w:p>
    <w:p>
      <w:pPr>
        <w:pStyle w:val="BodyText"/>
      </w:pPr>
      <w:r>
        <w:rPr>
          <w:b/>
          <w:bCs/>
        </w:rPr>
        <w:t xml:space="preserve">Long term (2029–2030):</w:t>
      </w:r>
      <w:r>
        <w:t xml:space="preserve"> </w:t>
      </w:r>
      <w:r>
        <w:t xml:space="preserve">7. Evaluate continuation, expansion, or phase-out as NPOO construction completes</w:t>
      </w:r>
      <w:r>
        <w:t xml:space="preserve"> </w:t>
      </w:r>
      <w:r>
        <w:t xml:space="preserve">8. Document lessons learned for national policy</w:t>
      </w:r>
    </w:p>
    <w:p>
      <w:r>
        <w:pict>
          <v:rect style="width:0;height:1.5pt" o:hralign="center" o:hrstd="t" o:hr="t"/>
        </w:pict>
      </w:r>
    </w:p>
    <w:bookmarkEnd w:id="44"/>
    <w:bookmarkStart w:id="45" w:name="key-messages-for-presentation"/>
    <w:p>
      <w:pPr>
        <w:pStyle w:val="Heading2"/>
      </w:pPr>
      <w:r>
        <w:t xml:space="preserve">13. Key Messages (for Presentation)</w:t>
      </w:r>
    </w:p>
    <w:p>
      <w:pPr>
        <w:pStyle w:val="BlockText"/>
      </w:pPr>
      <w:r>
        <w:rPr>
          <w:b/>
          <w:bCs/>
        </w:rPr>
        <w:t xml:space="preserve">“Split has two school systems in one city.”</w:t>
      </w:r>
      <w:r>
        <w:br/>
      </w:r>
      <w:r>
        <w:t xml:space="preserve">Eastern children start school at 15:00 and return home in the dark. Central schools have empty classrooms every afternoon.</w:t>
      </w:r>
    </w:p>
    <w:p>
      <w:pPr>
        <w:pStyle w:val="BlockText"/>
      </w:pPr>
      <w:r>
        <w:rPr>
          <w:b/>
          <w:bCs/>
        </w:rPr>
        <w:t xml:space="preserve">“We don’t need to wait for new schools. We need to use what we have.”</w:t>
      </w:r>
      <w:r>
        <w:br/>
      </w:r>
      <w:r>
        <w:t xml:space="preserve">OŠ Dobri, Meje, and Lučac have capacity for hundreds more pupils — today, not in 2030.</w:t>
      </w:r>
    </w:p>
    <w:p>
      <w:pPr>
        <w:pStyle w:val="BlockText"/>
      </w:pPr>
      <w:r>
        <w:rPr>
          <w:b/>
          <w:bCs/>
        </w:rPr>
        <w:t xml:space="preserve">“The bus already exists — it just doesn’t have yellow paint.”</w:t>
      </w:r>
      <w:r>
        <w:br/>
      </w:r>
      <w:r>
        <w:t xml:space="preserve">Split already pays for all pupils to travel on public transport. A dedicated school bus is the same principle, with a timetable that matches the school day.</w:t>
      </w:r>
    </w:p>
    <w:p>
      <w:pPr>
        <w:pStyle w:val="BlockText"/>
      </w:pPr>
      <w:r>
        <w:rPr>
          <w:b/>
          <w:bCs/>
        </w:rPr>
        <w:t xml:space="preserve">“One bus, 50 children, €90,000 per year.”</w:t>
      </w:r>
      <w:r>
        <w:br/>
      </w:r>
      <w:r>
        <w:t xml:space="preserve">That is less than 1% of the cost of one new school. It can start in January 2027.</w:t>
      </w:r>
    </w:p>
    <w:p>
      <w:r>
        <w:pict>
          <v:rect style="width:0;height:1.5pt" o:hralign="center" o:hrstd="t" o:hr="t"/>
        </w:pict>
      </w:r>
    </w:p>
    <w:bookmarkEnd w:id="45"/>
    <w:bookmarkStart w:id="46" w:name="sources"/>
    <w:p>
      <w:pPr>
        <w:pStyle w:val="Heading2"/>
      </w:pPr>
      <w:r>
        <w:t xml:space="preserve">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Mejaši — O školi</w:t>
            </w:r>
          </w:p>
        </w:tc>
        <w:tc>
          <w:tcPr/>
          <w:p>
            <w:pPr>
              <w:pStyle w:val="Compact"/>
            </w:pPr>
            <w:r>
              <w:t xml:space="preserve">https://os-mejasi-st.skole.hr/o-skoli/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Dalmatinski portal: OŠ Mejaši nova škola</w:t>
            </w:r>
          </w:p>
        </w:tc>
        <w:tc>
          <w:tcPr/>
          <w:p>
            <w:pPr>
              <w:pStyle w:val="Compact"/>
            </w:pPr>
            <w:r>
              <w:t xml:space="preserve">https://dalmatinskiportal.hr/vijesti/radovi-na-istoku-splita-od-jeseni-os-mejasi-prostranija-i-ljepsa–gradska-uprava-najavila-gradnju-nove-skole/45852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Dalmatinski portal: Di je zapelo?</w:t>
            </w:r>
          </w:p>
        </w:tc>
        <w:tc>
          <w:tcPr/>
          <w:p>
            <w:pPr>
              <w:pStyle w:val="Compact"/>
            </w:pPr>
            <w:r>
              <w:t xml:space="preserve">https://dalmatinskiportal.hr/vijesti/di-je-zapelo–dogodine-zapocinju-radovi-na-cetiri-skole–a-vecina-ostalih-u-jednu-smjenu-ce-prijeci-same-od-sebe/251073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 Split: NPOO €18.2M</w:t>
            </w:r>
          </w:p>
        </w:tc>
        <w:tc>
          <w:tcPr/>
          <w:p>
            <w:pPr>
              <w:pStyle w:val="Compact"/>
            </w:pPr>
            <w:r>
              <w:t xml:space="preserve">https://split.hr/clanak/grad-split-osigurao-vise-od-182-milijuna-eura-za-tri-osnovne-skole-iz-npoo-a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gradonacelnik.hr: NPOO škole</w:t>
            </w:r>
          </w:p>
        </w:tc>
        <w:tc>
          <w:tcPr/>
          <w:p>
            <w:pPr>
              <w:pStyle w:val="Compact"/>
            </w:pPr>
            <w:r>
              <w:t xml:space="preserve">https://gradonacelnik.hr/vijesti/obrazovanje/split-iz-npoo-a-osigurano-vise-od-182-milijuna-eura-za-modernizaciju-i-prosirenje-triju-osnovnih-skola/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grademoj.hr: €16.5M obnova</w:t>
            </w:r>
          </w:p>
        </w:tc>
        <w:tc>
          <w:tcPr/>
          <w:p>
            <w:pPr>
              <w:pStyle w:val="Compact"/>
            </w:pPr>
            <w:r>
              <w:t xml:space="preserve">https://grademoj.hr/2026/02/03/split-ulaze-vise-od-165-milijuna-eura-u-obnovu-i-dogradnju-osnovnih-skola/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Lučac: Godišnji plan 2025/26</w:t>
            </w:r>
          </w:p>
        </w:tc>
        <w:tc>
          <w:tcPr/>
          <w:p>
            <w:pPr>
              <w:pStyle w:val="Compact"/>
            </w:pPr>
            <w:r>
              <w:t xml:space="preserve">https://oslucac.hr/wp-content/uploads/2025/10/Godisnji-plan-i-program-rada-skole-2025_2026.pdf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Ravne Njive – Neslanovac</w:t>
            </w:r>
          </w:p>
        </w:tc>
        <w:tc>
          <w:tcPr/>
          <w:p>
            <w:pPr>
              <w:pStyle w:val="Compact"/>
            </w:pPr>
            <w:r>
              <w:t xml:space="preserve">https://os-ravnenjiveneslanovac-st.skole.hr/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Državni pedagoški standard — NN 63/2008</w:t>
            </w:r>
          </w:p>
        </w:tc>
        <w:tc>
          <w:tcPr/>
          <w:p>
            <w:pPr>
              <w:pStyle w:val="Compact"/>
            </w:pPr>
            <w:r>
              <w:t xml:space="preserve">https://narodne-novine.nn.hr/clanci/sluzbeni/2008_06_63_2129.html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Pravilnik o broju učenika — NN 124/2009</w:t>
            </w:r>
          </w:p>
        </w:tc>
        <w:tc>
          <w:tcPr/>
          <w:p>
            <w:pPr>
              <w:pStyle w:val="Compact"/>
            </w:pPr>
            <w:r>
              <w:t xml:space="preserve">https://narodne-novine.nn.hr/clanci/sluzbeni/2009_10_124_3065.html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srednja.hr: 3-smjenske škole 2022</w:t>
            </w:r>
          </w:p>
        </w:tc>
        <w:tc>
          <w:tcPr/>
          <w:p>
            <w:pPr>
              <w:pStyle w:val="Compact"/>
            </w:pPr>
            <w:r>
              <w:t xml:space="preserve">https://www.srednja.hr/novosti/ovo-su-skole-koje-danas-u-2022-jos-uvijek-rade-u-tri-smjene-kroz-pet-godina-to-bi-se-trebalo-promijeniti/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Dalmacija danas: Besplatan prijevoz</w:t>
            </w:r>
          </w:p>
        </w:tc>
        <w:tc>
          <w:tcPr/>
          <w:p>
            <w:pPr>
              <w:pStyle w:val="Compact"/>
            </w:pPr>
            <w:r>
              <w:t xml:space="preserve">https://www.dalmacijadanas.hr/od-ponedjeljka-besplatan-prijevoz-za-sve-ucenike-i-studente-s-prebivalistem-u-splitu/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Wikipedia HR: Split demografija</w:t>
            </w:r>
          </w:p>
        </w:tc>
        <w:tc>
          <w:tcPr/>
          <w:p>
            <w:pPr>
              <w:pStyle w:val="Compact"/>
            </w:pPr>
            <w:r>
              <w:t xml:space="preserve">https://hr.wikipedia.org/wiki/Split</w:t>
            </w:r>
          </w:p>
        </w:tc>
      </w:tr>
    </w:tbl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2026-05-16T09:46:48Z</dcterms:created>
  <dcterms:modified xsi:type="dcterms:W3CDTF">2026-05-16T09:46:48Z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