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inicijativa-žuti-autobus-za-split"/>
    <w:p>
      <w:pPr>
        <w:pStyle w:val="Heading1"/>
      </w:pPr>
      <w:r>
        <w:t xml:space="preserve">Inicijativa</w:t>
      </w:r>
      <w:r>
        <w:t xml:space="preserve"> </w:t>
      </w:r>
      <w:r>
        <w:t xml:space="preserve">“Žuti autobus”</w:t>
      </w:r>
      <w:r>
        <w:t xml:space="preserve"> </w:t>
      </w:r>
      <w:r>
        <w:t xml:space="preserve">za Split</w:t>
      </w:r>
    </w:p>
    <w:bookmarkStart w:id="9" w:name="X6c7c1e8eb167b991b5d1ffdcb334e149ef39a10"/>
    <w:p>
      <w:pPr>
        <w:pStyle w:val="Heading2"/>
      </w:pPr>
      <w:r>
        <w:t xml:space="preserve">Preraspodjela učenika iz preopterećenih škola na istoku u škole s raspoloživim kapacitetom u centru grada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Svibanj 2026.</w:t>
      </w:r>
      <w:r>
        <w:br/>
      </w:r>
      <w:r>
        <w:rPr>
          <w:b/>
          <w:bCs/>
        </w:rPr>
        <w:t xml:space="preserve">Grad:</w:t>
      </w:r>
      <w:r>
        <w:t xml:space="preserve"> </w:t>
      </w:r>
      <w:r>
        <w:t xml:space="preserve">Split</w:t>
      </w:r>
      <w:r>
        <w:br/>
      </w:r>
      <w:r>
        <w:rPr>
          <w:b/>
          <w:bCs/>
        </w:rPr>
        <w:t xml:space="preserve">Razina obrazovanja:</w:t>
      </w:r>
      <w:r>
        <w:t xml:space="preserve"> </w:t>
      </w:r>
      <w:r>
        <w:t xml:space="preserve">Osnovna škola (OŠ), razredi 1.–8.</w:t>
      </w:r>
    </w:p>
    <w:p>
      <w:r>
        <w:pict>
          <v:rect style="width:0;height:1.5pt" o:hralign="center" o:hrstd="t" o:hr="t"/>
        </w:pict>
      </w:r>
    </w:p>
    <w:bookmarkEnd w:id="9"/>
    <w:bookmarkStart w:id="10" w:name="sažetak"/>
    <w:p>
      <w:pPr>
        <w:pStyle w:val="Heading2"/>
      </w:pPr>
      <w:r>
        <w:t xml:space="preserve">1. Sažetak</w:t>
      </w:r>
    </w:p>
    <w:p>
      <w:pPr>
        <w:pStyle w:val="FirstParagraph"/>
      </w:pPr>
      <w:r>
        <w:t xml:space="preserve">Osnovno školstvo u Splitu obilježava strukturna neravnoteža. Škole u brzorastućim četvrtima na istoku grada rade na granici — ili je premašuju — pedagoškog standarda Republic Hrvatske, a dvije škole još uvijek izvode nastavu u</w:t>
      </w:r>
      <w:r>
        <w:t xml:space="preserve"> </w:t>
      </w:r>
      <w:r>
        <w:rPr>
          <w:b/>
          <w:bCs/>
        </w:rPr>
        <w:t xml:space="preserve">tri smjene</w:t>
      </w:r>
      <w:r>
        <w:t xml:space="preserve">, što ni pedagoškim standardom nije predviđeno kao trajni oblik organizacije. Istodobno, škole u povijesnoj jezgri i zapadnom dijelu Splita rade na</w:t>
      </w:r>
      <w:r>
        <w:t xml:space="preserve"> </w:t>
      </w:r>
      <w:r>
        <w:rPr>
          <w:b/>
          <w:bCs/>
        </w:rPr>
        <w:t xml:space="preserve">40–60% kapaciteta jedne smjene</w:t>
      </w:r>
      <w:r>
        <w:t xml:space="preserve"> </w:t>
      </w:r>
      <w:r>
        <w:t xml:space="preserve">— učionice im zjape prazne svako poslijepodne.</w:t>
      </w:r>
    </w:p>
    <w:p>
      <w:pPr>
        <w:pStyle w:val="BodyText"/>
      </w:pPr>
      <w:r>
        <w:t xml:space="preserve">Standardni vladini odgovor — gradnja 2–3 nove škole na istoku — procjenjuje se na</w:t>
      </w:r>
      <w:r>
        <w:t xml:space="preserve"> </w:t>
      </w:r>
      <w:r>
        <w:rPr>
          <w:b/>
          <w:bCs/>
        </w:rPr>
        <w:t xml:space="preserve">2030. godinu u najboljem slučaju</w:t>
      </w:r>
      <w:r>
        <w:t xml:space="preserve">, uz stotine milijuna kuna kapitalnih ulaganja. Grad Split je već osigurao</w:t>
      </w:r>
      <w:r>
        <w:t xml:space="preserve"> </w:t>
      </w:r>
      <w:r>
        <w:rPr>
          <w:b/>
          <w:bCs/>
        </w:rPr>
        <w:t xml:space="preserve">18,2 milijuna eura</w:t>
      </w:r>
      <w:r>
        <w:t xml:space="preserve"> </w:t>
      </w:r>
      <w:r>
        <w:t xml:space="preserve">iz NPOO-a (EU fondova za oporavak) za proširenje triju škola na istoku, što će pomoći, ali samo po sebi neće riješiti neravnoteju.</w:t>
      </w:r>
    </w:p>
    <w:p>
      <w:pPr>
        <w:pStyle w:val="BodyText"/>
      </w:pPr>
      <w:r>
        <w:t xml:space="preserve">Ovaj dokument predlaže komplementarnu, bržu i znatno jeftiniju intervenciju:</w:t>
      </w:r>
      <w:r>
        <w:t xml:space="preserve"> </w:t>
      </w:r>
      <w:r>
        <w:rPr>
          <w:b/>
          <w:bCs/>
        </w:rPr>
        <w:t xml:space="preserve">namjenski školski autobus (</w:t>
      </w:r>
      <w:r>
        <w:rPr>
          <w:b/>
          <w:bCs/>
        </w:rPr>
        <w:t xml:space="preserve">“Žuti autobus”</w:t>
      </w:r>
      <w:r>
        <w:rPr>
          <w:b/>
          <w:bCs/>
        </w:rPr>
        <w:t xml:space="preserve">)</w:t>
      </w:r>
      <w:r>
        <w:t xml:space="preserve"> </w:t>
      </w:r>
      <w:r>
        <w:t xml:space="preserve">koji će na dobrovoljnoj osnovi svakodnevno prevoziti određeni broj učenika iz preopterećenih škola na istoku u škole u centru s raspoloživim kapacitetom, gdje bi pohađali nastavu u jednoj smjeni.</w:t>
      </w:r>
    </w:p>
    <w:p>
      <w:pPr>
        <w:pStyle w:val="BodyText"/>
      </w:pPr>
      <w:r>
        <w:rPr>
          <w:b/>
          <w:bCs/>
        </w:rPr>
        <w:t xml:space="preserve">Ključni preduvjet koji već postoji:</w:t>
      </w:r>
      <w:r>
        <w:t xml:space="preserve"> </w:t>
      </w:r>
      <w:r>
        <w:t xml:space="preserve">Od rujna 2025. Grad Split osigurava</w:t>
      </w:r>
      <w:r>
        <w:t xml:space="preserve"> </w:t>
      </w:r>
      <w:r>
        <w:rPr>
          <w:b/>
          <w:bCs/>
        </w:rPr>
        <w:t xml:space="preserve">besplatni javni prijevoz</w:t>
      </w:r>
      <w:r>
        <w:t xml:space="preserve"> </w:t>
      </w:r>
      <w:r>
        <w:t xml:space="preserve">svim učenicima s prebivalištem u Splitu. Žuti autobus proteže tu logiku na namjensko, pouzdano vozilo s rasporedom prilagođenim školskim vremenima.</w:t>
      </w:r>
    </w:p>
    <w:p>
      <w:r>
        <w:pict>
          <v:rect style="width:0;height:1.5pt" o:hralign="center" o:hrstd="t" o:hr="t"/>
        </w:pict>
      </w:r>
    </w:p>
    <w:bookmarkEnd w:id="10"/>
    <w:bookmarkStart w:id="14" w:name="X9727c0d99dd5319cbb98c6872230ea43d286be3"/>
    <w:p>
      <w:pPr>
        <w:pStyle w:val="Heading2"/>
      </w:pPr>
      <w:r>
        <w:t xml:space="preserve">2. Problem: Dva školska sustava u jednom gradu</w:t>
      </w:r>
    </w:p>
    <w:bookmarkStart w:id="11" w:name="podaci-o-broju-učenika"/>
    <w:p>
      <w:pPr>
        <w:pStyle w:val="Heading3"/>
      </w:pPr>
      <w:r>
        <w:t xml:space="preserve">2.1 Podaci o broju učenika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Škola</w:t>
            </w:r>
          </w:p>
        </w:tc>
        <w:tc>
          <w:tcPr/>
          <w:p>
            <w:pPr>
              <w:pStyle w:val="Compact"/>
            </w:pPr>
            <w:r>
              <w:t xml:space="preserve">Četvrt</w:t>
            </w:r>
          </w:p>
        </w:tc>
        <w:tc>
          <w:tcPr/>
          <w:p>
            <w:pPr>
              <w:pStyle w:val="Compact"/>
            </w:pPr>
            <w:r>
              <w:t xml:space="preserve">Proc. broj učenika</w:t>
            </w:r>
          </w:p>
        </w:tc>
        <w:tc>
          <w:tcPr/>
          <w:p>
            <w:pPr>
              <w:pStyle w:val="Compact"/>
            </w:pPr>
            <w:r>
              <w:t xml:space="preserve">Smjene</w:t>
            </w:r>
          </w:p>
        </w:tc>
        <w:tc>
          <w:tcPr/>
          <w:p>
            <w:pPr>
              <w:pStyle w:val="Compact"/>
            </w:pPr>
            <w:r>
              <w:t xml:space="preserve">Odjeljenja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OŠ Mejaši</w:t>
            </w:r>
          </w:p>
        </w:tc>
        <w:tc>
          <w:tcPr/>
          <w:p>
            <w:pPr>
              <w:pStyle w:val="Compact"/>
            </w:pPr>
            <w:r>
              <w:t xml:space="preserve">Istok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~926</w:t>
            </w:r>
          </w:p>
        </w:tc>
        <w:tc>
          <w:tcPr/>
          <w:p>
            <w:pPr>
              <w:pStyle w:val="Compact"/>
            </w:pPr>
            <w:r>
              <w:t xml:space="preserve">3 (razredna) / 2 (predmetna)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Kritično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OŠ Ravne Njive</w:t>
            </w:r>
          </w:p>
        </w:tc>
        <w:tc>
          <w:tcPr/>
          <w:p>
            <w:pPr>
              <w:pStyle w:val="Compact"/>
            </w:pPr>
            <w:r>
              <w:t xml:space="preserve">Istok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Velik / nepoznat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~28+</w:t>
            </w:r>
          </w:p>
        </w:tc>
        <w:tc>
          <w:tcPr/>
          <w:p>
            <w:pPr>
              <w:pStyle w:val="Compact"/>
            </w:pPr>
            <w:r>
              <w:t xml:space="preserve">Kritično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OŠ Sućidar</w:t>
            </w:r>
          </w:p>
        </w:tc>
        <w:tc>
          <w:tcPr/>
          <w:p>
            <w:pPr>
              <w:pStyle w:val="Compact"/>
            </w:pPr>
            <w:r>
              <w:t xml:space="preserve">Istok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3–4 po razredu</w:t>
            </w:r>
          </w:p>
        </w:tc>
        <w:tc>
          <w:tcPr/>
          <w:p>
            <w:pPr>
              <w:pStyle w:val="Compact"/>
            </w:pPr>
            <w:r>
              <w:t xml:space="preserve">Preopterećeno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OŠ Mertojak</w:t>
            </w:r>
          </w:p>
        </w:tc>
        <w:tc>
          <w:tcPr/>
          <w:p>
            <w:pPr>
              <w:pStyle w:val="Compact"/>
            </w:pPr>
            <w:r>
              <w:t xml:space="preserve">Istok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~540–659</w:t>
            </w:r>
          </w:p>
        </w:tc>
        <w:tc>
          <w:tcPr/>
          <w:p>
            <w:pPr>
              <w:pStyle w:val="Compact"/>
            </w:pPr>
            <w:r>
              <w:t xml:space="preserve">2 (bio 3)</w:t>
            </w:r>
          </w:p>
        </w:tc>
        <w:tc>
          <w:tcPr/>
          <w:p>
            <w:pPr>
              <w:pStyle w:val="Compact"/>
            </w:pPr>
            <w:r>
              <w:t xml:space="preserve">Više</w:t>
            </w:r>
          </w:p>
        </w:tc>
        <w:tc>
          <w:tcPr/>
          <w:p>
            <w:pPr>
              <w:pStyle w:val="Compact"/>
            </w:pPr>
            <w:r>
              <w:t xml:space="preserve">Preopterećeno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Plokite</w:t>
            </w:r>
          </w:p>
        </w:tc>
        <w:tc>
          <w:tcPr/>
          <w:p>
            <w:pPr>
              <w:pStyle w:val="Compact"/>
            </w:pPr>
            <w:r>
              <w:t xml:space="preserve">Zapad/centar</w:t>
            </w:r>
          </w:p>
        </w:tc>
        <w:tc>
          <w:tcPr/>
          <w:p>
            <w:pPr>
              <w:pStyle w:val="Compact"/>
            </w:pPr>
            <w:r>
              <w:t xml:space="preserve">~445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Neiskorišteno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Lučac</w:t>
            </w:r>
          </w:p>
        </w:tc>
        <w:tc>
          <w:tcPr/>
          <w:p>
            <w:pPr>
              <w:pStyle w:val="Compact"/>
            </w:pPr>
            <w:r>
              <w:t xml:space="preserve">Centar</w:t>
            </w:r>
          </w:p>
        </w:tc>
        <w:tc>
          <w:tcPr/>
          <w:p>
            <w:pPr>
              <w:pStyle w:val="Compact"/>
            </w:pPr>
            <w:r>
              <w:t xml:space="preserve">391</w:t>
            </w:r>
          </w:p>
        </w:tc>
        <w:tc>
          <w:tcPr/>
          <w:p>
            <w:pPr>
              <w:pStyle w:val="Compact"/>
            </w:pPr>
            <w:r>
              <w:t xml:space="preserve">2 (naizmjenično)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Neiskorišteno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Dobri</w:t>
            </w:r>
          </w:p>
        </w:tc>
        <w:tc>
          <w:tcPr/>
          <w:p>
            <w:pPr>
              <w:pStyle w:val="Compact"/>
            </w:pPr>
            <w:r>
              <w:t xml:space="preserve">Povijesni centar</w:t>
            </w:r>
          </w:p>
        </w:tc>
        <w:tc>
          <w:tcPr/>
          <w:p>
            <w:pPr>
              <w:pStyle w:val="Compact"/>
            </w:pPr>
            <w:r>
              <w:t xml:space="preserve">~264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(vjerojatno)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Neiskorišteno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Meje</w:t>
            </w:r>
          </w:p>
        </w:tc>
        <w:tc>
          <w:tcPr/>
          <w:p>
            <w:pPr>
              <w:pStyle w:val="Compact"/>
            </w:pPr>
            <w:r>
              <w:t xml:space="preserve">Zapad</w:t>
            </w:r>
          </w:p>
        </w:tc>
        <w:tc>
          <w:tcPr/>
          <w:p>
            <w:pPr>
              <w:pStyle w:val="Compact"/>
            </w:pPr>
            <w:r>
              <w:t xml:space="preserve">~362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2 po razredu</w:t>
            </w:r>
          </w:p>
        </w:tc>
        <w:tc>
          <w:tcPr/>
          <w:p>
            <w:pPr>
              <w:pStyle w:val="Compact"/>
            </w:pPr>
            <w:r>
              <w:t xml:space="preserve">Neiskorišteno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Mejaši sama upisuje više učenika od Dobrog, Meja i Plokita zajedno.</w:t>
      </w:r>
    </w:p>
    <w:bookmarkEnd w:id="11"/>
    <w:bookmarkStart w:id="12" w:name="X5419fbc5b17325fd7a93cef9723770dc78888ed"/>
    <w:p>
      <w:pPr>
        <w:pStyle w:val="Heading3"/>
      </w:pPr>
      <w:r>
        <w:t xml:space="preserve">2.2 Trosmjenska nastava: nezakonita normalnost</w:t>
      </w:r>
    </w:p>
    <w:p>
      <w:pPr>
        <w:pStyle w:val="FirstParagraph"/>
      </w:pPr>
      <w:r>
        <w:rPr>
          <w:b/>
          <w:bCs/>
        </w:rPr>
        <w:t xml:space="preserve">Državni pedagoški standard</w:t>
      </w:r>
      <w:r>
        <w:t xml:space="preserve"> </w:t>
      </w:r>
      <w:r>
        <w:t xml:space="preserve">(NN 63/2008, izmjene NN 90/2010) propisuje: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Maksimalan broj odjeljenja po školi:</w:t>
      </w:r>
      <w:r>
        <w:t xml:space="preserve"> </w:t>
      </w:r>
      <w:r>
        <w:t xml:space="preserve">32 (što omogućuje dvosmjenski rad)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Trosmjenska nastava:</w:t>
      </w:r>
      <w:r>
        <w:t xml:space="preserve"> </w:t>
      </w:r>
      <w:r>
        <w:t xml:space="preserve">nije definirana kao trajan oblik — postoji samo kao tolerirani prijelazni izuzetak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Maksimalni broj učenika u odjeljenju:</w:t>
      </w:r>
      <w:r>
        <w:t xml:space="preserve"> </w:t>
      </w:r>
      <w:r>
        <w:t xml:space="preserve">28; iznimno 34 samo ako škola ima samo jedno odjeljenje određenog razreda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OŠ Mejaši ima 39 odjeljenja u 17 učionica</w:t>
      </w:r>
      <w:r>
        <w:t xml:space="preserve"> </w:t>
      </w:r>
      <w:r>
        <w:t xml:space="preserve">— 7 odjeljenja iznad gornje granice za dvosmjenski rad</w:t>
      </w:r>
    </w:p>
    <w:p>
      <w:pPr>
        <w:pStyle w:val="FirstParagraph"/>
      </w:pPr>
      <w:r>
        <w:t xml:space="preserve">OŠ Ravne Njive bila je jedna od</w:t>
      </w:r>
      <w:r>
        <w:t xml:space="preserve"> </w:t>
      </w:r>
      <w:r>
        <w:rPr>
          <w:b/>
          <w:bCs/>
        </w:rPr>
        <w:t xml:space="preserve">samo dvije škole u cijeloj Hrvatskoj</w:t>
      </w:r>
      <w:r>
        <w:t xml:space="preserve"> </w:t>
      </w:r>
      <w:r>
        <w:t xml:space="preserve">koje su 2022. i dalje radile u tri smjene. Ovo nije lokalna posebnost — to je nacionalna anomalija.</w:t>
      </w:r>
    </w:p>
    <w:bookmarkEnd w:id="12"/>
    <w:bookmarkStart w:id="13" w:name="što-trosmjenska-nastava-znači-za-dijete"/>
    <w:p>
      <w:pPr>
        <w:pStyle w:val="Heading3"/>
      </w:pPr>
      <w:r>
        <w:t xml:space="preserve">2.3 Što trosmjenska nastava znači za dijete</w:t>
      </w:r>
    </w:p>
    <w:p>
      <w:pPr>
        <w:pStyle w:val="Compact"/>
        <w:numPr>
          <w:ilvl w:val="0"/>
          <w:numId w:val="1002"/>
        </w:numPr>
      </w:pPr>
      <w:r>
        <w:t xml:space="preserve">Djeca razredne nastave (6–10 godina) počinju školu u</w:t>
      </w:r>
      <w:r>
        <w:t xml:space="preserve"> </w:t>
      </w:r>
      <w:r>
        <w:rPr>
          <w:b/>
          <w:bCs/>
        </w:rPr>
        <w:t xml:space="preserve">15:00</w:t>
      </w:r>
      <w:r>
        <w:t xml:space="preserve">, a kući dolaze u 19:00</w:t>
      </w:r>
    </w:p>
    <w:p>
      <w:pPr>
        <w:pStyle w:val="Compact"/>
        <w:numPr>
          <w:ilvl w:val="0"/>
          <w:numId w:val="1002"/>
        </w:numPr>
      </w:pPr>
      <w:r>
        <w:t xml:space="preserve">Izvannastavne aktivnosti, sport i kulturni programi praktično su nedostupni za učenike treće smjene</w:t>
      </w:r>
    </w:p>
    <w:p>
      <w:pPr>
        <w:pStyle w:val="Compact"/>
        <w:numPr>
          <w:ilvl w:val="0"/>
          <w:numId w:val="1002"/>
        </w:numPr>
      </w:pPr>
      <w:r>
        <w:t xml:space="preserve">Nastavnici rade rascjepkane rasporede kroz 3 podskupine, što smanjuje kvalitetu koordinacije i planiranja</w:t>
      </w:r>
    </w:p>
    <w:p>
      <w:pPr>
        <w:pStyle w:val="Compact"/>
        <w:numPr>
          <w:ilvl w:val="0"/>
          <w:numId w:val="1002"/>
        </w:numPr>
      </w:pPr>
      <w:r>
        <w:t xml:space="preserve">Školski resursi (knjižnica, laboratoriji, dvorana) ne mogu zadovoljiti sve učenike</w:t>
      </w:r>
    </w:p>
    <w:p>
      <w:pPr>
        <w:pStyle w:val="Compact"/>
        <w:numPr>
          <w:ilvl w:val="0"/>
          <w:numId w:val="1002"/>
        </w:numPr>
      </w:pPr>
      <w:r>
        <w:t xml:space="preserve">Roditelji u kućanstvima s dvoje zaposlenih suočeni su s vakuumom čuvanja djece izvan školskih sati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emeljni-uzrok-demografska-asimetrija"/>
    <w:p>
      <w:pPr>
        <w:pStyle w:val="Heading2"/>
      </w:pPr>
      <w:r>
        <w:t xml:space="preserve">3. Temeljni uzrok: Demografska asimetrija</w:t>
      </w:r>
    </w:p>
    <w:p>
      <w:pPr>
        <w:pStyle w:val="FirstParagraph"/>
      </w:pPr>
      <w:r>
        <w:t xml:space="preserve">Splitski istočni kvartovi rasli su ubrzano od 1970-ih nadalje — samo naselja Ravnih Njiva imaju</w:t>
      </w:r>
      <w:r>
        <w:t xml:space="preserve"> </w:t>
      </w:r>
      <w:r>
        <w:rPr>
          <w:b/>
          <w:bCs/>
        </w:rPr>
        <w:t xml:space="preserve">više od 9.000 stanovnika</w:t>
      </w:r>
      <w:r>
        <w:t xml:space="preserve">. Nova stambena gradnja u Kili, Dragovodi i Neslanovcu nastavlja se i danas.</w:t>
      </w:r>
    </w:p>
    <w:p>
      <w:pPr>
        <w:pStyle w:val="BodyText"/>
      </w:pPr>
      <w:r>
        <w:t xml:space="preserve">Povijesna jezgra (Dobri, Lučac) i zapadni Split (Meje, Plokite) prate paneuropski trend starenja stanovništva, viših cijena nekretnina i manjih kućanstava. Mlade obitelji jednostavno ne mogu ili ne žele živjeti u tim krajevima — ali škole ostaju.</w:t>
      </w:r>
    </w:p>
    <w:p>
      <w:pPr>
        <w:pStyle w:val="BodyText"/>
      </w:pPr>
      <w:r>
        <w:rPr>
          <w:b/>
          <w:bCs/>
        </w:rPr>
        <w:t xml:space="preserve">Ovaj demografski trend se neće sam od sebe ispraviti.</w:t>
      </w:r>
      <w:r>
        <w:t xml:space="preserve"> </w:t>
      </w:r>
      <w:r>
        <w:t xml:space="preserve">Bez intervencije, škole na istoku nastavit će upisivati sve više učenika kroz 2030-e, dok će škole u centru polako nastaviti odumirati.</w:t>
      </w:r>
    </w:p>
    <w:p>
      <w:r>
        <w:pict>
          <v:rect style="width:0;height:1.5pt" o:hralign="center" o:hrstd="t" o:hr="t"/>
        </w:pict>
      </w:r>
    </w:p>
    <w:bookmarkEnd w:id="15"/>
    <w:bookmarkStart w:id="19" w:name="X659b9266e65f33804dd441d5b8654007d312385"/>
    <w:p>
      <w:pPr>
        <w:pStyle w:val="Heading2"/>
      </w:pPr>
      <w:r>
        <w:t xml:space="preserve">4. Sadašnji vladini odgovor i njegova ograničenja</w:t>
      </w:r>
    </w:p>
    <w:bookmarkStart w:id="16" w:name="npoo-ulaganje-eu-fondovi-za-oporavak"/>
    <w:p>
      <w:pPr>
        <w:pStyle w:val="Heading3"/>
      </w:pPr>
      <w:r>
        <w:t xml:space="preserve">4.1 NPOO ulaganje (EU fondovi za oporavak)</w:t>
      </w:r>
    </w:p>
    <w:p>
      <w:pPr>
        <w:pStyle w:val="FirstParagraph"/>
      </w:pPr>
      <w:r>
        <w:t xml:space="preserve">Grad Split osigurao je</w:t>
      </w:r>
      <w:r>
        <w:t xml:space="preserve"> </w:t>
      </w:r>
      <w:r>
        <w:rPr>
          <w:b/>
          <w:bCs/>
        </w:rPr>
        <w:t xml:space="preserve">18,2 milijuna eura</w:t>
      </w:r>
      <w:r>
        <w:t xml:space="preserve"> </w:t>
      </w:r>
      <w:r>
        <w:t xml:space="preserve">iz Nacionalnog plana oporavka i otpornosti za proširenje triju škola: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Škola</w:t>
            </w:r>
          </w:p>
        </w:tc>
        <w:tc>
          <w:tcPr/>
          <w:p>
            <w:pPr>
              <w:pStyle w:val="Compact"/>
            </w:pPr>
            <w:r>
              <w:t xml:space="preserve">Planirani radovi</w:t>
            </w:r>
          </w:p>
        </w:tc>
        <w:tc>
          <w:tcPr/>
          <w:p>
            <w:pPr>
              <w:pStyle w:val="Compact"/>
            </w:pPr>
            <w:r>
              <w:t xml:space="preserve">Cilj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Ravne Njive – Neslanovac</w:t>
            </w:r>
          </w:p>
        </w:tc>
        <w:tc>
          <w:tcPr/>
          <w:p>
            <w:pPr>
              <w:pStyle w:val="Compact"/>
            </w:pPr>
            <w:r>
              <w:t xml:space="preserve">+14 učionica, +8 predmetnih kabineta</w:t>
            </w:r>
          </w:p>
        </w:tc>
        <w:tc>
          <w:tcPr/>
          <w:p>
            <w:pPr>
              <w:pStyle w:val="Compact"/>
            </w:pPr>
            <w:r>
              <w:t xml:space="preserve">Jednosmjenska i cjelodnevna nastava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Pujanke</w:t>
            </w:r>
          </w:p>
        </w:tc>
        <w:tc>
          <w:tcPr/>
          <w:p>
            <w:pPr>
              <w:pStyle w:val="Compact"/>
            </w:pPr>
            <w:r>
              <w:t xml:space="preserve">Proširenje i modernizacija</w:t>
            </w:r>
          </w:p>
        </w:tc>
        <w:tc>
          <w:tcPr/>
          <w:p>
            <w:pPr>
              <w:pStyle w:val="Compact"/>
            </w:pPr>
            <w:r>
              <w:t xml:space="preserve">Jednosmjenska nastava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Split 3</w:t>
            </w:r>
          </w:p>
        </w:tc>
        <w:tc>
          <w:tcPr/>
          <w:p>
            <w:pPr>
              <w:pStyle w:val="Compact"/>
            </w:pPr>
            <w:r>
              <w:t xml:space="preserve">Proširenje i modernizacija</w:t>
            </w:r>
          </w:p>
        </w:tc>
        <w:tc>
          <w:tcPr/>
          <w:p>
            <w:pPr>
              <w:pStyle w:val="Compact"/>
            </w:pPr>
            <w:r>
              <w:t xml:space="preserve">Jednosmjenska nastava</w:t>
            </w:r>
          </w:p>
        </w:tc>
      </w:tr>
    </w:tbl>
    <w:p>
      <w:pPr>
        <w:pStyle w:val="BodyText"/>
      </w:pPr>
      <w:r>
        <w:t xml:space="preserve">Dodatnih</w:t>
      </w:r>
      <w:r>
        <w:t xml:space="preserve"> </w:t>
      </w:r>
      <w:r>
        <w:rPr>
          <w:b/>
          <w:bCs/>
        </w:rPr>
        <w:t xml:space="preserve">16,5 milijuna eura</w:t>
      </w:r>
      <w:r>
        <w:t xml:space="preserve"> </w:t>
      </w:r>
      <w:r>
        <w:t xml:space="preserve">osigurano je za sljedeći val rekonstrukcije.</w:t>
      </w:r>
    </w:p>
    <w:bookmarkEnd w:id="16"/>
    <w:bookmarkStart w:id="17" w:name="zašto-to-nije-dovoljno"/>
    <w:p>
      <w:pPr>
        <w:pStyle w:val="Heading3"/>
      </w:pPr>
      <w:r>
        <w:t xml:space="preserve">4.2 Zašto to nije dovoljno</w:t>
      </w:r>
    </w:p>
    <w:p>
      <w:pPr>
        <w:pStyle w:val="Compact"/>
        <w:numPr>
          <w:ilvl w:val="0"/>
          <w:numId w:val="1003"/>
        </w:numPr>
      </w:pPr>
      <w:r>
        <w:t xml:space="preserve">Rokovi gradnje:</w:t>
      </w:r>
      <w:r>
        <w:t xml:space="preserve"> </w:t>
      </w:r>
      <w:r>
        <w:rPr>
          <w:b/>
          <w:bCs/>
        </w:rPr>
        <w:t xml:space="preserve">2027.–2030. u najboljem slučaju</w:t>
      </w:r>
      <w:r>
        <w:t xml:space="preserve">, ovisno o nabavi, dozvolama i izvođenju</w:t>
      </w:r>
    </w:p>
    <w:p>
      <w:pPr>
        <w:pStyle w:val="Compact"/>
        <w:numPr>
          <w:ilvl w:val="0"/>
          <w:numId w:val="1003"/>
        </w:numPr>
      </w:pPr>
      <w:r>
        <w:t xml:space="preserve">OŠ Mejaši</w:t>
      </w:r>
      <w:r>
        <w:t xml:space="preserve"> </w:t>
      </w:r>
      <w:r>
        <w:rPr>
          <w:b/>
          <w:bCs/>
        </w:rPr>
        <w:t xml:space="preserve">nije</w:t>
      </w:r>
      <w:r>
        <w:t xml:space="preserve"> </w:t>
      </w:r>
      <w:r>
        <w:t xml:space="preserve">među korisnicima NPOO sredstava — njeno rasterećenje ovisi o izgradnji nove škole na lokaciji Kila, projektu bez potvrđenog roka ili financiranja</w:t>
      </w:r>
    </w:p>
    <w:p>
      <w:pPr>
        <w:pStyle w:val="Compact"/>
        <w:numPr>
          <w:ilvl w:val="0"/>
          <w:numId w:val="1003"/>
        </w:numPr>
      </w:pPr>
      <w:r>
        <w:t xml:space="preserve">Gradnja povećava ponudu (više učionica na istoku), ali ne rješava paradoks</w:t>
      </w:r>
      <w:r>
        <w:t xml:space="preserve"> </w:t>
      </w:r>
      <w:r>
        <w:rPr>
          <w:b/>
          <w:bCs/>
        </w:rPr>
        <w:t xml:space="preserve">praznih učionica 5 km dalje</w:t>
      </w:r>
      <w:r>
        <w:t xml:space="preserve"> </w:t>
      </w:r>
      <w:r>
        <w:t xml:space="preserve">na zapadu</w:t>
      </w:r>
    </w:p>
    <w:p>
      <w:pPr>
        <w:pStyle w:val="Compact"/>
        <w:numPr>
          <w:ilvl w:val="0"/>
          <w:numId w:val="1003"/>
        </w:numPr>
      </w:pPr>
      <w:r>
        <w:t xml:space="preserve">NPOO proširenje Ravnih Njiva dodaje 14 učionica — ali škola treba oko 20–22 za jednosmjenski rad na sadašnjem broju učenika</w:t>
      </w:r>
    </w:p>
    <w:p>
      <w:pPr>
        <w:pStyle w:val="Compact"/>
        <w:numPr>
          <w:ilvl w:val="0"/>
          <w:numId w:val="1003"/>
        </w:numPr>
      </w:pPr>
      <w:r>
        <w:t xml:space="preserve">EU sredstva dolaze uz uvjete: opseg je fiksiran, prenamjena nije jednostavna</w:t>
      </w:r>
    </w:p>
    <w:bookmarkEnd w:id="17"/>
    <w:bookmarkStart w:id="18" w:name="cilj-jednosmjenske-nastave"/>
    <w:p>
      <w:pPr>
        <w:pStyle w:val="Heading3"/>
      </w:pPr>
      <w:r>
        <w:t xml:space="preserve">4.3 Cilj jednosmjenske nastave</w:t>
      </w:r>
    </w:p>
    <w:p>
      <w:pPr>
        <w:pStyle w:val="FirstParagraph"/>
      </w:pPr>
      <w:r>
        <w:t xml:space="preserve">Ministarstvo znanosti, obrazovanja i mladih postavilo je nacionalni cilj</w:t>
      </w:r>
      <w:r>
        <w:t xml:space="preserve"> </w:t>
      </w:r>
      <w:r>
        <w:rPr>
          <w:b/>
          <w:bCs/>
        </w:rPr>
        <w:t xml:space="preserve">eliminacije višesmjenske nastave</w:t>
      </w:r>
      <w:r>
        <w:t xml:space="preserve"> </w:t>
      </w:r>
      <w:r>
        <w:t xml:space="preserve">do otprilike 2030. Za Split, sam Grad je priznao da to ovisi o</w:t>
      </w:r>
      <w:r>
        <w:t xml:space="preserve"> </w:t>
      </w:r>
      <w:r>
        <w:rPr>
          <w:b/>
          <w:bCs/>
        </w:rPr>
        <w:t xml:space="preserve">2–3 nove škole</w:t>
      </w:r>
      <w:r>
        <w:t xml:space="preserve"> </w:t>
      </w:r>
      <w:r>
        <w:t xml:space="preserve">koje treba izgraditi na istoku — škole koje su još uvijek u fazi planiranja.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prijedlog-žutog-autobusa"/>
    <w:p>
      <w:pPr>
        <w:pStyle w:val="Heading2"/>
      </w:pPr>
      <w:r>
        <w:t xml:space="preserve">5. Prijedlog</w:t>
      </w:r>
      <w:r>
        <w:t xml:space="preserve"> </w:t>
      </w:r>
      <w:r>
        <w:t xml:space="preserve">“Žutog autobusa”</w:t>
      </w:r>
    </w:p>
    <w:bookmarkStart w:id="20" w:name="osnovna-ideja"/>
    <w:p>
      <w:pPr>
        <w:pStyle w:val="Heading3"/>
      </w:pPr>
      <w:r>
        <w:t xml:space="preserve">5.1 Osnovna ideja</w:t>
      </w:r>
    </w:p>
    <w:p>
      <w:pPr>
        <w:pStyle w:val="FirstParagraph"/>
      </w:pPr>
      <w:r>
        <w:t xml:space="preserve">Namjenski školski autobus koji,</w:t>
      </w:r>
      <w:r>
        <w:t xml:space="preserve"> </w:t>
      </w:r>
      <w:r>
        <w:rPr>
          <w:b/>
          <w:bCs/>
        </w:rPr>
        <w:t xml:space="preserve">na potpuno dobrovoljnoj osnovi</w:t>
      </w:r>
      <w:r>
        <w:t xml:space="preserve">, prevozi određeni broj učenika razredne nastave (1.–4. razred) iz preopterećenih škola na istoku u škole s raspoloživim kapacitetom u centru svako jutro, a poslijepodne ih vraća natrag.</w:t>
      </w:r>
    </w:p>
    <w:bookmarkEnd w:id="20"/>
    <w:bookmarkStart w:id="21" w:name="kako-bi-funkcioniralo"/>
    <w:p>
      <w:pPr>
        <w:pStyle w:val="Heading3"/>
      </w:pPr>
      <w:r>
        <w:t xml:space="preserve">5.2 Kako bi funkcioniralo</w:t>
      </w:r>
    </w:p>
    <w:p>
      <w:pPr>
        <w:pStyle w:val="SourceCode"/>
      </w:pPr>
      <w:r>
        <w:rPr>
          <w:rStyle w:val="VerbatimChar"/>
        </w:rPr>
        <w:t xml:space="preserve">07:30  Autobus kreće s polazišta Mejaši / Ravne Njive</w:t>
      </w:r>
      <w:r>
        <w:br/>
      </w:r>
      <w:r>
        <w:rPr>
          <w:rStyle w:val="VerbatimChar"/>
        </w:rPr>
        <w:t xml:space="preserve">08:00  Dolazak u OŠ Dobri / OŠ Meje / OŠ Lučac</w:t>
      </w:r>
      <w:r>
        <w:br/>
      </w:r>
      <w:r>
        <w:rPr>
          <w:rStyle w:val="VerbatimChar"/>
        </w:rPr>
        <w:t xml:space="preserve">08:00  Početak jednosmjenske nastave</w:t>
      </w:r>
      <w:r>
        <w:br/>
      </w:r>
      <w:r>
        <w:rPr>
          <w:rStyle w:val="VerbatimChar"/>
        </w:rPr>
        <w:t xml:space="preserve">13:00  Autobus kreće iz škole primatelja</w:t>
      </w:r>
      <w:r>
        <w:br/>
      </w:r>
      <w:r>
        <w:rPr>
          <w:rStyle w:val="VerbatimChar"/>
        </w:rPr>
        <w:t xml:space="preserve">13:30  Učenici su kod kuće na istoku Splita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Ruta:</w:t>
      </w:r>
      <w:r>
        <w:t xml:space="preserve"> </w:t>
      </w:r>
      <w:r>
        <w:t xml:space="preserve">Polazište na istoku → Škola u centru → Povratak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Kapacitet po autobusu:</w:t>
      </w:r>
      <w:r>
        <w:t xml:space="preserve"> </w:t>
      </w:r>
      <w:r>
        <w:t xml:space="preserve">50–55 učenika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Cilj 1. faze:</w:t>
      </w:r>
      <w:r>
        <w:t xml:space="preserve"> </w:t>
      </w:r>
      <w:r>
        <w:t xml:space="preserve">2 autobusa, 100–110 učenika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Škole pošiljatelji:</w:t>
      </w:r>
      <w:r>
        <w:t xml:space="preserve"> </w:t>
      </w:r>
      <w:r>
        <w:t xml:space="preserve">OŠ Mejaši, OŠ Ravne Njive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Škole primatelji:</w:t>
      </w:r>
      <w:r>
        <w:t xml:space="preserve"> </w:t>
      </w:r>
      <w:r>
        <w:t xml:space="preserve">OŠ Dobri, OŠ Meje, OŠ Lučac</w:t>
      </w:r>
    </w:p>
    <w:bookmarkEnd w:id="21"/>
    <w:bookmarkStart w:id="22" w:name="utjecaj-na-preopterećene-škole"/>
    <w:p>
      <w:pPr>
        <w:pStyle w:val="Heading3"/>
      </w:pPr>
      <w:r>
        <w:t xml:space="preserve">5.3 Utjecaj na preopterećene škole</w:t>
      </w:r>
    </w:p>
    <w:p>
      <w:pPr>
        <w:pStyle w:val="FirstParagraph"/>
      </w:pPr>
      <w:r>
        <w:t xml:space="preserve">Premještaj 100 učenika iz OŠ Mejaši (926 učenika, 39 odjeljenja) omogućio bi:</w:t>
      </w:r>
      <w:r>
        <w:t xml:space="preserve"> </w:t>
      </w:r>
      <w:r>
        <w:t xml:space="preserve">- Ukidanje otprilike</w:t>
      </w:r>
      <w:r>
        <w:t xml:space="preserve"> </w:t>
      </w:r>
      <w:r>
        <w:rPr>
          <w:b/>
          <w:bCs/>
        </w:rPr>
        <w:t xml:space="preserve">3–4 odjeljenja</w:t>
      </w:r>
      <w:r>
        <w:t xml:space="preserve"> </w:t>
      </w:r>
      <w:r>
        <w:t xml:space="preserve">u razrednoj nastavi</w:t>
      </w:r>
      <w:r>
        <w:t xml:space="preserve"> </w:t>
      </w:r>
      <w:r>
        <w:t xml:space="preserve">- Smanjenje ukupnog broja odjeljenja s 39 na ~35–36, što se primičuje zakonskoj granici od 32 odjeljenja</w:t>
      </w:r>
      <w:r>
        <w:t xml:space="preserve"> </w:t>
      </w:r>
      <w:r>
        <w:t xml:space="preserve">- Ukidanje 3. smjene za razrednu nastavu kao neposrednu privremenu mjeru</w:t>
      </w:r>
      <w:r>
        <w:t xml:space="preserve"> </w:t>
      </w:r>
      <w:r>
        <w:t xml:space="preserve">- Smanjenje broja učenika u odjeljenjima prema optimalnim 20 (s trenutnih 26–28)</w:t>
      </w:r>
    </w:p>
    <w:bookmarkEnd w:id="22"/>
    <w:bookmarkStart w:id="23" w:name="utjecaj-na-škole-primatelje"/>
    <w:p>
      <w:pPr>
        <w:pStyle w:val="Heading3"/>
      </w:pPr>
      <w:r>
        <w:t xml:space="preserve">5.4 Utjecaj na škole primatelje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Škola</w:t>
            </w:r>
          </w:p>
        </w:tc>
        <w:tc>
          <w:tcPr/>
          <w:p>
            <w:pPr>
              <w:pStyle w:val="Compact"/>
            </w:pPr>
            <w:r>
              <w:t xml:space="preserve">Sadašnji broj učenika</w:t>
            </w:r>
          </w:p>
        </w:tc>
        <w:tc>
          <w:tcPr/>
          <w:p>
            <w:pPr>
              <w:pStyle w:val="Compact"/>
            </w:pPr>
            <w:r>
              <w:t xml:space="preserve">Raspoloživi kapacitet (1 smjena)</w:t>
            </w:r>
          </w:p>
        </w:tc>
        <w:tc>
          <w:tcPr/>
          <w:p>
            <w:pPr>
              <w:pStyle w:val="Compact"/>
            </w:pPr>
            <w:r>
              <w:t xml:space="preserve">Nakon primitka 25–35 učenika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Dobri</w:t>
            </w:r>
          </w:p>
        </w:tc>
        <w:tc>
          <w:tcPr/>
          <w:p>
            <w:pPr>
              <w:pStyle w:val="Compact"/>
            </w:pPr>
            <w:r>
              <w:t xml:space="preserve">~264</w:t>
            </w:r>
          </w:p>
        </w:tc>
        <w:tc>
          <w:tcPr/>
          <w:p>
            <w:pPr>
              <w:pStyle w:val="Compact"/>
            </w:pPr>
            <w:r>
              <w:t xml:space="preserve">200+</w:t>
            </w:r>
          </w:p>
        </w:tc>
        <w:tc>
          <w:tcPr/>
          <w:p>
            <w:pPr>
              <w:pStyle w:val="Compact"/>
            </w:pPr>
            <w:r>
              <w:t xml:space="preserve">Znatno ispod kapaciteta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Meje</w:t>
            </w:r>
          </w:p>
        </w:tc>
        <w:tc>
          <w:tcPr/>
          <w:p>
            <w:pPr>
              <w:pStyle w:val="Compact"/>
            </w:pPr>
            <w:r>
              <w:t xml:space="preserve">~362</w:t>
            </w:r>
          </w:p>
        </w:tc>
        <w:tc>
          <w:tcPr/>
          <w:p>
            <w:pPr>
              <w:pStyle w:val="Compact"/>
            </w:pPr>
            <w:r>
              <w:t xml:space="preserve">100–150</w:t>
            </w:r>
          </w:p>
        </w:tc>
        <w:tc>
          <w:tcPr/>
          <w:p>
            <w:pPr>
              <w:pStyle w:val="Compact"/>
            </w:pPr>
            <w:r>
              <w:t xml:space="preserve">Unutar kapaciteta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Lučac</w:t>
            </w:r>
          </w:p>
        </w:tc>
        <w:tc>
          <w:tcPr/>
          <w:p>
            <w:pPr>
              <w:pStyle w:val="Compact"/>
            </w:pPr>
            <w:r>
              <w:t xml:space="preserve">391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Unutar kapaciteta</w:t>
            </w:r>
          </w:p>
        </w:tc>
      </w:tr>
    </w:tbl>
    <w:p>
      <w:pPr>
        <w:pStyle w:val="BodyText"/>
      </w:pPr>
      <w:r>
        <w:t xml:space="preserve">Nisu potrebna proširenja ni novi nastavnici izvan postojećih omjera — ove škole trenutno imaju nastavnike s neiskorištenim satima.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zašto-sada-tri-ključna-preduvjeta"/>
    <w:p>
      <w:pPr>
        <w:pStyle w:val="Heading2"/>
      </w:pPr>
      <w:r>
        <w:t xml:space="preserve">6. Zašto sada: Tri ključna preduvjeta</w:t>
      </w:r>
    </w:p>
    <w:bookmarkStart w:id="25" w:name="besplatni-javni-prijevoz-već-postoji"/>
    <w:p>
      <w:pPr>
        <w:pStyle w:val="Heading3"/>
      </w:pPr>
      <w:r>
        <w:t xml:space="preserve">6.1 Besplatni javni prijevoz već postoji</w:t>
      </w:r>
    </w:p>
    <w:p>
      <w:pPr>
        <w:pStyle w:val="FirstParagraph"/>
      </w:pPr>
      <w:r>
        <w:t xml:space="preserve">Od</w:t>
      </w:r>
      <w:r>
        <w:t xml:space="preserve"> </w:t>
      </w:r>
      <w:r>
        <w:rPr>
          <w:b/>
          <w:bCs/>
        </w:rPr>
        <w:t xml:space="preserve">rujna 2025.</w:t>
      </w:r>
      <w:r>
        <w:t xml:space="preserve"> </w:t>
      </w:r>
      <w:r>
        <w:t xml:space="preserve">Grad Split osigurava besplatne karte javnog prijevoza svim učenicima s prebivalištem u Splitu. Grad je već prešao politički prag javno financiranog prijevoza učenika. Žuti autobus je namjenska, pouzdana, vremenski prilagođena verzija načela koje već postoji u zakonu i praksi.</w:t>
      </w:r>
    </w:p>
    <w:bookmarkEnd w:id="25"/>
    <w:bookmarkStart w:id="26" w:name="Xad13e65f58dec55a610b894bba34feaa5cbce9d"/>
    <w:p>
      <w:pPr>
        <w:pStyle w:val="Heading3"/>
      </w:pPr>
      <w:r>
        <w:t xml:space="preserve">6.2 Škole primatelji imaju kapacitet i interes</w:t>
      </w:r>
    </w:p>
    <w:p>
      <w:pPr>
        <w:pStyle w:val="FirstParagraph"/>
      </w:pPr>
      <w:r>
        <w:t xml:space="preserve">OŠ Dobri (264 učenika), OŠ Meje (362) i OŠ Lučac (391) suočavaju se s dugoročnim demografskim padom. Dodatni upisani učenici:</w:t>
      </w:r>
      <w:r>
        <w:t xml:space="preserve"> </w:t>
      </w:r>
      <w:r>
        <w:t xml:space="preserve">- Poboljšavaju financiranje po učeniku (capitation grants prate dijete)</w:t>
      </w:r>
      <w:r>
        <w:t xml:space="preserve"> </w:t>
      </w:r>
      <w:r>
        <w:t xml:space="preserve">- Opravdavaju zadržavanje ili proširenje nastavnog kadra</w:t>
      </w:r>
      <w:r>
        <w:t xml:space="preserve"> </w:t>
      </w:r>
      <w:r>
        <w:t xml:space="preserve">- Jačaju poziciju škole u eventualnim budućim odlukama o racionalizaciji</w:t>
      </w:r>
    </w:p>
    <w:p>
      <w:pPr>
        <w:pStyle w:val="BodyText"/>
      </w:pPr>
      <w:r>
        <w:t xml:space="preserve">Ravnatelji škola u centru imaju institucionalni interes za suradnju.</w:t>
      </w:r>
    </w:p>
    <w:bookmarkEnd w:id="26"/>
    <w:bookmarkStart w:id="27" w:name="npoo-gradnja-pruža-dugoročno-rješenje"/>
    <w:p>
      <w:pPr>
        <w:pStyle w:val="Heading3"/>
      </w:pPr>
      <w:r>
        <w:t xml:space="preserve">6.3 NPOO gradnja pruža dugoročno rješenje</w:t>
      </w:r>
    </w:p>
    <w:p>
      <w:pPr>
        <w:pStyle w:val="FirstParagraph"/>
      </w:pPr>
      <w:r>
        <w:t xml:space="preserve">Žuti autobus nije trajno rješenje — on je</w:t>
      </w:r>
      <w:r>
        <w:t xml:space="preserve"> </w:t>
      </w:r>
      <w:r>
        <w:rPr>
          <w:b/>
          <w:bCs/>
        </w:rPr>
        <w:t xml:space="preserve">prijelazna mjera</w:t>
      </w:r>
      <w:r>
        <w:t xml:space="preserve"> </w:t>
      </w:r>
      <w:r>
        <w:t xml:space="preserve">koja kupuje 3–5 godina dok se NPOO-om financirana proširenja ne dovrše. Ovakvo uokvirivanje je politički lakše prodati: nije</w:t>
      </w:r>
      <w:r>
        <w:t xml:space="preserve"> </w:t>
      </w:r>
      <w:r>
        <w:t xml:space="preserve">“trajno odvoženje djece iz školā u susjedstvu”</w:t>
      </w:r>
      <w:r>
        <w:t xml:space="preserve">, nego</w:t>
      </w:r>
      <w:r>
        <w:t xml:space="preserve"> </w:t>
      </w:r>
      <w:r>
        <w:t xml:space="preserve">“ublažavanje prenapučenosti dok gradimo infrastrukturu koja to trajno rješava.”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rocjena-troškova"/>
    <w:p>
      <w:pPr>
        <w:pStyle w:val="Heading2"/>
      </w:pPr>
      <w:r>
        <w:t xml:space="preserve">7. Procjena troškova</w:t>
      </w:r>
    </w:p>
    <w:bookmarkStart w:id="29" w:name="kapitalni-troškovi"/>
    <w:p>
      <w:pPr>
        <w:pStyle w:val="Heading3"/>
      </w:pPr>
      <w:r>
        <w:t xml:space="preserve">7.1 Kapitalni troškovi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Stavka</w:t>
            </w:r>
          </w:p>
        </w:tc>
        <w:tc>
          <w:tcPr/>
          <w:p>
            <w:pPr>
              <w:pStyle w:val="Compact"/>
            </w:pPr>
            <w:r>
              <w:t xml:space="preserve">Proc. trošak</w:t>
            </w:r>
          </w:p>
        </w:tc>
        <w:tc>
          <w:tcPr/>
          <w:p>
            <w:pPr>
              <w:pStyle w:val="Compact"/>
            </w:pPr>
            <w:r>
              <w:t xml:space="preserve">Napomena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namjenska autobusa (rabljeni, 5–8 god.)</w:t>
            </w:r>
          </w:p>
        </w:tc>
        <w:tc>
          <w:tcPr/>
          <w:p>
            <w:pPr>
              <w:pStyle w:val="Compact"/>
            </w:pPr>
            <w:r>
              <w:t xml:space="preserve">170.000–360.000 EUR</w:t>
            </w:r>
          </w:p>
        </w:tc>
        <w:tc>
          <w:tcPr/>
          <w:p>
            <w:pPr>
              <w:pStyle w:val="Compact"/>
            </w:pPr>
            <w:r>
              <w:t xml:space="preserve">~85.000–180.000 EUR/vozilo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namjenska autobusa (novi školski/međugradski)</w:t>
            </w:r>
          </w:p>
        </w:tc>
        <w:tc>
          <w:tcPr/>
          <w:p>
            <w:pPr>
              <w:pStyle w:val="Compact"/>
            </w:pPr>
            <w:r>
              <w:t xml:space="preserve">400.000–560.000 EUR</w:t>
            </w:r>
          </w:p>
        </w:tc>
        <w:tc>
          <w:tcPr/>
          <w:p>
            <w:pPr>
              <w:pStyle w:val="Compact"/>
            </w:pPr>
            <w:r>
              <w:t xml:space="preserve">~200.000–280.000 EUR/vozilo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/ komunikacijska oprema</w:t>
            </w:r>
          </w:p>
        </w:tc>
        <w:tc>
          <w:tcPr/>
          <w:p>
            <w:pPr>
              <w:pStyle w:val="Compact"/>
            </w:pPr>
            <w:r>
              <w:t xml:space="preserve">5.000 EUR</w:t>
            </w:r>
          </w:p>
        </w:tc>
        <w:tc>
          <w:tcPr/>
          <w:p>
            <w:pPr>
              <w:pStyle w:val="Compact"/>
            </w:pPr>
            <w:r>
              <w:t xml:space="preserve">Po vozilu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Infrastruktura stajališta (po potrebi)</w:t>
            </w:r>
          </w:p>
        </w:tc>
        <w:tc>
          <w:tcPr/>
          <w:p>
            <w:pPr>
              <w:pStyle w:val="Compact"/>
            </w:pPr>
            <w:r>
              <w:t xml:space="preserve">10.000–20.000 EUR</w:t>
            </w:r>
          </w:p>
        </w:tc>
        <w:tc>
          <w:tcPr/>
          <w:p>
            <w:pPr>
              <w:pStyle w:val="Compact"/>
            </w:pPr>
            <w:r>
              <w:t xml:space="preserve">Polazišne točke na istoku</w:t>
            </w:r>
          </w:p>
        </w:tc>
      </w:tr>
    </w:tbl>
    <w:bookmarkEnd w:id="29"/>
    <w:bookmarkStart w:id="30" w:name="godišnji-operativni-troškovi"/>
    <w:p>
      <w:pPr>
        <w:pStyle w:val="Heading3"/>
      </w:pPr>
      <w:r>
        <w:t xml:space="preserve">7.2 Godišnji operativni troškovi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Stavka</w:t>
            </w:r>
          </w:p>
        </w:tc>
        <w:tc>
          <w:tcPr/>
          <w:p>
            <w:pPr>
              <w:pStyle w:val="Compact"/>
            </w:pPr>
            <w:r>
              <w:t xml:space="preserve">Godišnji trošak</w:t>
            </w:r>
          </w:p>
        </w:tc>
        <w:tc>
          <w:tcPr/>
          <w:p>
            <w:pPr>
              <w:pStyle w:val="Compact"/>
            </w:pPr>
            <w:r>
              <w:t xml:space="preserve">Izvor / osnova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vozača (bruto trošak za poslodavca)</w:t>
            </w:r>
          </w:p>
        </w:tc>
        <w:tc>
          <w:tcPr/>
          <w:p>
            <w:pPr>
              <w:pStyle w:val="Compact"/>
            </w:pPr>
            <w:r>
              <w:t xml:space="preserve">36.000–44.000 EUR</w:t>
            </w:r>
          </w:p>
        </w:tc>
        <w:tc>
          <w:tcPr/>
          <w:p>
            <w:pPr>
              <w:pStyle w:val="Compact"/>
            </w:pPr>
            <w:r>
              <w:t xml:space="preserve">1.100–1.400 EUR/mj. neto; ~18.000–22.000 EUR/god./vozač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Gorivo (2 autobusa × 100 km/dan × 180 dan.)</w:t>
            </w:r>
          </w:p>
        </w:tc>
        <w:tc>
          <w:tcPr/>
          <w:p>
            <w:pPr>
              <w:pStyle w:val="Compact"/>
            </w:pPr>
            <w:r>
              <w:t xml:space="preserve">16.600 EUR</w:t>
            </w:r>
          </w:p>
        </w:tc>
        <w:tc>
          <w:tcPr/>
          <w:p>
            <w:pPr>
              <w:pStyle w:val="Compact"/>
            </w:pPr>
            <w:r>
              <w:t xml:space="preserve">35 L/100 km × 1,32 EUR/L × 36.000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Održavanje i osiguranje</w:t>
            </w:r>
          </w:p>
        </w:tc>
        <w:tc>
          <w:tcPr/>
          <w:p>
            <w:pPr>
              <w:pStyle w:val="Compact"/>
            </w:pPr>
            <w:r>
              <w:t xml:space="preserve">16.000–24.000 EUR</w:t>
            </w:r>
          </w:p>
        </w:tc>
        <w:tc>
          <w:tcPr/>
          <w:p>
            <w:pPr>
              <w:pStyle w:val="Compact"/>
            </w:pPr>
            <w:r>
              <w:t xml:space="preserve">8.000–12.000 EUR/vozilo/god.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Koordinacija i administracija</w:t>
            </w:r>
          </w:p>
        </w:tc>
        <w:tc>
          <w:tcPr/>
          <w:p>
            <w:pPr>
              <w:pStyle w:val="Compact"/>
            </w:pPr>
            <w:r>
              <w:t xml:space="preserve">5.000 EUR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Ukupno godišnji (model vlastitog voznog parka)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~74.000–90.000 EUR/god.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Xcf00890ad8121fa381571d3462f64d8cd96d966"/>
    <w:p>
      <w:pPr>
        <w:pStyle w:val="Heading3"/>
      </w:pPr>
      <w:r>
        <w:t xml:space="preserve">7.3 Alternativa: Ugovoreni prijevoznik (charter)</w:t>
      </w:r>
    </w:p>
    <w:p>
      <w:pPr>
        <w:pStyle w:val="FirstParagraph"/>
      </w:pPr>
      <w:r>
        <w:t xml:space="preserve">Splitsko-dalmatinska županija već ugovara školski prijevoz putem javne nabave (EVV 5/23, EVV 5/24). Isti okvir primjenjiv je za gradski pilot projekt: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Godišnji trošak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Charter (180 dan. × 500 EUR/dan, 2 vozila)</w:t>
            </w:r>
          </w:p>
        </w:tc>
        <w:tc>
          <w:tcPr/>
          <w:p>
            <w:pPr>
              <w:pStyle w:val="Compact"/>
            </w:pPr>
            <w:r>
              <w:t xml:space="preserve">~180.000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km (1,20 EUR/km × 100 km/dan × 180 dan. × 2 vozila)</w:t>
            </w:r>
          </w:p>
        </w:tc>
        <w:tc>
          <w:tcPr/>
          <w:p>
            <w:pPr>
              <w:pStyle w:val="Compact"/>
            </w:pPr>
            <w:r>
              <w:t xml:space="preserve">~43.200 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Preporučeni model za pilot: 1 vozilo, 6 mj. ugovor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~45.000–60.000 EUR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Preporuka za pilot fazu:</w:t>
      </w:r>
      <w:r>
        <w:t xml:space="preserve"> </w:t>
      </w:r>
      <w:r>
        <w:t xml:space="preserve">Najmiti jedno vozilo putem otvorenog nadmetanja za 6 mjeseci. Nema kapitalnih troškova, nema dugoročnih obveza.</w:t>
      </w:r>
    </w:p>
    <w:bookmarkEnd w:id="31"/>
    <w:bookmarkStart w:id="32" w:name="usporedba-s-alternativom"/>
    <w:p>
      <w:pPr>
        <w:pStyle w:val="Heading3"/>
      </w:pPr>
      <w:r>
        <w:t xml:space="preserve">7.4 Usporedba s alternativom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Žuti autobus (2 vozila)</w:t>
            </w:r>
          </w:p>
        </w:tc>
        <w:tc>
          <w:tcPr/>
          <w:p>
            <w:pPr>
              <w:pStyle w:val="Compact"/>
            </w:pPr>
            <w:r>
              <w:t xml:space="preserve">Nova škola (Kila)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Kapitalni trošak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200.000–300.000 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10–15 milijuna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Godišnji operativni trošak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~90.000 EUR/god.</w:t>
            </w:r>
          </w:p>
        </w:tc>
        <w:tc>
          <w:tcPr/>
          <w:p>
            <w:pPr>
              <w:pStyle w:val="Compact"/>
            </w:pPr>
            <w:r>
              <w:t xml:space="preserve">~800.000+ EUR/god.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Rok od odluke do prve nastave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6–9 mjeseci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5–8 godina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Ukupni trošak za 5 godina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~750.000 EUR</w:t>
            </w:r>
          </w:p>
        </w:tc>
        <w:tc>
          <w:tcPr/>
          <w:p>
            <w:pPr>
              <w:pStyle w:val="Compact"/>
            </w:pPr>
            <w:r>
              <w:t xml:space="preserve">Neusporedivo</w:t>
            </w:r>
          </w:p>
        </w:tc>
      </w:tr>
    </w:tbl>
    <w:p>
      <w:pPr>
        <w:pStyle w:val="BlockText"/>
      </w:pPr>
      <w:r>
        <w:t xml:space="preserve">Petogodišnji ukupni trošak Žutog autobusa manji je od</w:t>
      </w:r>
      <w:r>
        <w:t xml:space="preserve"> </w:t>
      </w:r>
      <w:r>
        <w:rPr>
          <w:b/>
          <w:bCs/>
        </w:rPr>
        <w:t xml:space="preserve">5% troška jedne nove škole</w:t>
      </w:r>
      <w:r>
        <w:t xml:space="preserve"> </w:t>
      </w:r>
      <w:r>
        <w:t xml:space="preserve">— uz početak pomoći djeci već u siječnju 2027., a ne 2032.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odgovor-na-prigovore"/>
    <w:p>
      <w:pPr>
        <w:pStyle w:val="Heading2"/>
      </w:pPr>
      <w:r>
        <w:t xml:space="preserve">8. Odgovor na prigovore</w:t>
      </w:r>
    </w:p>
    <w:bookmarkStart w:id="34" w:name="X9303845f66d41b5cf6847de265f2e62ca960d02"/>
    <w:p>
      <w:pPr>
        <w:pStyle w:val="Heading3"/>
      </w:pPr>
      <w:r>
        <w:t xml:space="preserve">8.1</w:t>
      </w:r>
      <w:r>
        <w:t xml:space="preserve"> </w:t>
      </w:r>
      <w:r>
        <w:t xml:space="preserve">“Roditelji neće slati mladu djecu na drugu stranu grada”</w:t>
      </w:r>
    </w:p>
    <w:p>
      <w:pPr>
        <w:pStyle w:val="Compact"/>
        <w:numPr>
          <w:ilvl w:val="0"/>
          <w:numId w:val="1005"/>
        </w:numPr>
      </w:pPr>
      <w:r>
        <w:t xml:space="preserve">Sudjelovanje je</w:t>
      </w:r>
      <w:r>
        <w:t xml:space="preserve"> </w:t>
      </w:r>
      <w:r>
        <w:rPr>
          <w:b/>
          <w:bCs/>
        </w:rPr>
        <w:t xml:space="preserve">potpuno dobrovoljno</w:t>
      </w:r>
      <w:r>
        <w:t xml:space="preserve"> </w:t>
      </w:r>
      <w:r>
        <w:t xml:space="preserve">— nitko nije prisiljen</w:t>
      </w:r>
    </w:p>
    <w:p>
      <w:pPr>
        <w:pStyle w:val="Compact"/>
        <w:numPr>
          <w:ilvl w:val="0"/>
          <w:numId w:val="1005"/>
        </w:numPr>
      </w:pPr>
      <w:r>
        <w:t xml:space="preserve">Ruta je kratka (5–8 km, 12–18 min) — Split nije veliki grad</w:t>
      </w:r>
    </w:p>
    <w:p>
      <w:pPr>
        <w:pStyle w:val="Compact"/>
        <w:numPr>
          <w:ilvl w:val="0"/>
          <w:numId w:val="1005"/>
        </w:numPr>
      </w:pPr>
      <w:r>
        <w:t xml:space="preserve">Djeca dolaze kući do 13:30 umjesto u 19:00 —</w:t>
      </w:r>
      <w:r>
        <w:t xml:space="preserve"> </w:t>
      </w:r>
      <w:r>
        <w:rPr>
          <w:b/>
          <w:bCs/>
        </w:rPr>
        <w:t xml:space="preserve">roditelji dobivaju 5+ slobodnih poslijepodnevnih sati</w:t>
      </w:r>
    </w:p>
    <w:p>
      <w:pPr>
        <w:pStyle w:val="Compact"/>
        <w:numPr>
          <w:ilvl w:val="0"/>
          <w:numId w:val="1005"/>
        </w:numPr>
      </w:pPr>
      <w:r>
        <w:t xml:space="preserve">Roditelji iz razredne nastave ionako prate djecu do škole — autobuski polazak je isti princip</w:t>
      </w:r>
    </w:p>
    <w:p>
      <w:pPr>
        <w:pStyle w:val="Compact"/>
        <w:numPr>
          <w:ilvl w:val="0"/>
          <w:numId w:val="1005"/>
        </w:numPr>
      </w:pPr>
      <w:r>
        <w:t xml:space="preserve">Poticaj je konkretan:</w:t>
      </w:r>
      <w:r>
        <w:t xml:space="preserve"> </w:t>
      </w:r>
      <w:r>
        <w:rPr>
          <w:b/>
          <w:bCs/>
        </w:rPr>
        <w:t xml:space="preserve">jedna smjena, manji razred</w:t>
      </w:r>
    </w:p>
    <w:bookmarkEnd w:id="34"/>
    <w:bookmarkStart w:id="35" w:name="Xfa688b20075745f6d8e763bf3d29f54544ca46c"/>
    <w:p>
      <w:pPr>
        <w:pStyle w:val="Heading3"/>
      </w:pPr>
      <w:r>
        <w:t xml:space="preserve">8.2</w:t>
      </w:r>
      <w:r>
        <w:t xml:space="preserve"> </w:t>
      </w:r>
      <w:r>
        <w:t xml:space="preserve">“Djeca trebaju ići u školu u svom susjedstvu”</w:t>
      </w:r>
    </w:p>
    <w:p>
      <w:pPr>
        <w:pStyle w:val="Compact"/>
        <w:numPr>
          <w:ilvl w:val="0"/>
          <w:numId w:val="1006"/>
        </w:numPr>
      </w:pPr>
      <w:r>
        <w:t xml:space="preserve">Hrvatski zakon</w:t>
      </w:r>
      <w:r>
        <w:t xml:space="preserve"> </w:t>
      </w:r>
      <w:r>
        <w:rPr>
          <w:b/>
          <w:bCs/>
        </w:rPr>
        <w:t xml:space="preserve">ne propisuje obveznu upis prema školskom raispordu</w:t>
      </w:r>
      <w:r>
        <w:t xml:space="preserve"> </w:t>
      </w:r>
      <w:r>
        <w:t xml:space="preserve">— roditelji imaju pravo upisati dijete u bilo koju školu</w:t>
      </w:r>
    </w:p>
    <w:p>
      <w:pPr>
        <w:pStyle w:val="Compact"/>
        <w:numPr>
          <w:ilvl w:val="0"/>
          <w:numId w:val="1006"/>
        </w:numPr>
      </w:pPr>
      <w:r>
        <w:t xml:space="preserve">Žuti autobus daje obiteljima na istoku</w:t>
      </w:r>
      <w:r>
        <w:t xml:space="preserve"> </w:t>
      </w:r>
      <w:r>
        <w:rPr>
          <w:b/>
          <w:bCs/>
        </w:rPr>
        <w:t xml:space="preserve">stvaran izbor</w:t>
      </w:r>
      <w:r>
        <w:t xml:space="preserve"> </w:t>
      </w:r>
      <w:r>
        <w:t xml:space="preserve">— ne prisilnu preraspodjelu</w:t>
      </w:r>
    </w:p>
    <w:p>
      <w:pPr>
        <w:pStyle w:val="Compact"/>
        <w:numPr>
          <w:ilvl w:val="0"/>
          <w:numId w:val="1006"/>
        </w:numPr>
      </w:pPr>
      <w:r>
        <w:t xml:space="preserve">Identitet u susjedstvu gradi se na ulici, u parku, na terenu — ne isključivo u školskoj zgradi</w:t>
      </w:r>
    </w:p>
    <w:p>
      <w:pPr>
        <w:pStyle w:val="Compact"/>
        <w:numPr>
          <w:ilvl w:val="0"/>
          <w:numId w:val="1006"/>
        </w:numPr>
      </w:pPr>
      <w:r>
        <w:t xml:space="preserve">Djeca se vraćaju u svoju četvrt svako poslijepodne</w:t>
      </w:r>
    </w:p>
    <w:bookmarkEnd w:id="35"/>
    <w:bookmarkStart w:id="36" w:name="ovo-je-samo-flaster-ne-pravo-rješenje"/>
    <w:p>
      <w:pPr>
        <w:pStyle w:val="Heading3"/>
      </w:pPr>
      <w:r>
        <w:t xml:space="preserve">8.3</w:t>
      </w:r>
      <w:r>
        <w:t xml:space="preserve"> </w:t>
      </w:r>
      <w:r>
        <w:t xml:space="preserve">“Ovo je samo flaster, ne pravo rješenje”</w:t>
      </w:r>
    </w:p>
    <w:p>
      <w:pPr>
        <w:pStyle w:val="Compact"/>
        <w:numPr>
          <w:ilvl w:val="0"/>
          <w:numId w:val="1007"/>
        </w:numPr>
      </w:pPr>
      <w:r>
        <w:t xml:space="preserve">Točno — i upravo to jest cilj</w:t>
      </w:r>
    </w:p>
    <w:p>
      <w:pPr>
        <w:pStyle w:val="Compact"/>
        <w:numPr>
          <w:ilvl w:val="0"/>
          <w:numId w:val="1007"/>
        </w:numPr>
      </w:pPr>
      <w:r>
        <w:t xml:space="preserve">NPOO pruža strukturno rješenje. Autobus pruža</w:t>
      </w:r>
      <w:r>
        <w:t xml:space="preserve"> </w:t>
      </w:r>
      <w:r>
        <w:rPr>
          <w:b/>
          <w:bCs/>
        </w:rPr>
        <w:t xml:space="preserve">most</w:t>
      </w:r>
      <w:r>
        <w:t xml:space="preserve"> </w:t>
      </w:r>
      <w:r>
        <w:t xml:space="preserve">dok gradnja traje</w:t>
      </w:r>
    </w:p>
    <w:p>
      <w:pPr>
        <w:pStyle w:val="Compact"/>
        <w:numPr>
          <w:ilvl w:val="0"/>
          <w:numId w:val="1007"/>
        </w:numPr>
      </w:pPr>
      <w:r>
        <w:t xml:space="preserve">Petogodišnja prijelazna mjera koja košta ~750.000 EUR racionalan je politički izbor kad je alternativa ostaviti djecu u trosmjenskim školama do 2030.</w:t>
      </w:r>
    </w:p>
    <w:p>
      <w:pPr>
        <w:pStyle w:val="Compact"/>
        <w:numPr>
          <w:ilvl w:val="0"/>
          <w:numId w:val="1007"/>
        </w:numPr>
      </w:pPr>
      <w:r>
        <w:t xml:space="preserve">Žuti autobus</w:t>
      </w:r>
      <w:r>
        <w:t xml:space="preserve"> </w:t>
      </w:r>
      <w:r>
        <w:rPr>
          <w:b/>
          <w:bCs/>
        </w:rPr>
        <w:t xml:space="preserve">ne natječe se</w:t>
      </w:r>
      <w:r>
        <w:t xml:space="preserve"> </w:t>
      </w:r>
      <w:r>
        <w:t xml:space="preserve">s gradnjom novih škola — on je podupire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lan-provedbe"/>
    <w:p>
      <w:pPr>
        <w:pStyle w:val="Heading2"/>
      </w:pPr>
      <w:r>
        <w:t xml:space="preserve">9. Plan provedbe</w:t>
      </w:r>
    </w:p>
    <w:bookmarkStart w:id="38" w:name="faza-1-pilot-školska-god.-2026.27."/>
    <w:p>
      <w:pPr>
        <w:pStyle w:val="Heading3"/>
      </w:pPr>
      <w:r>
        <w:t xml:space="preserve">Faza 1 — Pilot (školska god. 2026./27.)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Korak</w:t>
            </w:r>
          </w:p>
        </w:tc>
        <w:tc>
          <w:tcPr/>
          <w:p>
            <w:pPr>
              <w:pStyle w:val="Compact"/>
            </w:pPr>
            <w:r>
              <w:t xml:space="preserve">Rok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Odluka Gradskog vijeća i alokacija proračuna</w:t>
            </w:r>
          </w:p>
        </w:tc>
        <w:tc>
          <w:tcPr/>
          <w:p>
            <w:pPr>
              <w:pStyle w:val="Compact"/>
            </w:pPr>
            <w:r>
              <w:t xml:space="preserve">Lipanj–Rujan 2026.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Sporazumi ravnatelja (Mejaši + Dobri/Meje)</w:t>
            </w:r>
          </w:p>
        </w:tc>
        <w:tc>
          <w:tcPr/>
          <w:p>
            <w:pPr>
              <w:pStyle w:val="Compact"/>
            </w:pPr>
            <w:r>
              <w:t xml:space="preserve">Rujan 2026.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Dobrovoljni upis otvorena obiteljima razredne nastave na Mejašima</w:t>
            </w:r>
          </w:p>
        </w:tc>
        <w:tc>
          <w:tcPr/>
          <w:p>
            <w:pPr>
              <w:pStyle w:val="Compact"/>
            </w:pPr>
            <w:r>
              <w:t xml:space="preserve">Rujan–Listopad 2026.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Javna nabava ili ugovor o najmu autobusa</w:t>
            </w:r>
          </w:p>
        </w:tc>
        <w:tc>
          <w:tcPr/>
          <w:p>
            <w:pPr>
              <w:pStyle w:val="Compact"/>
            </w:pPr>
            <w:r>
              <w:t xml:space="preserve">Listopad 2026.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Pokretanje pilota: 1 autobus, 1 ruta, ~50 učenika</w:t>
            </w:r>
          </w:p>
        </w:tc>
        <w:tc>
          <w:tcPr/>
          <w:p>
            <w:pPr>
              <w:pStyle w:val="Compact"/>
            </w:pPr>
            <w:r>
              <w:t xml:space="preserve">Siječanj 2027.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Evaluacija polugodišta</w:t>
            </w:r>
          </w:p>
        </w:tc>
        <w:tc>
          <w:tcPr/>
          <w:p>
            <w:pPr>
              <w:pStyle w:val="Compact"/>
            </w:pPr>
            <w:r>
              <w:t xml:space="preserve">Lipanj 2027.</w:t>
            </w:r>
          </w:p>
        </w:tc>
      </w:tr>
    </w:tbl>
    <w:bookmarkEnd w:id="38"/>
    <w:bookmarkStart w:id="39" w:name="faza-2-skaliranje-školska-god.-2027.28."/>
    <w:p>
      <w:pPr>
        <w:pStyle w:val="Heading3"/>
      </w:pPr>
      <w:r>
        <w:t xml:space="preserve">Faza 2 — Skaliranje (školska god. 2027./28.)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Korak</w:t>
            </w:r>
          </w:p>
        </w:tc>
        <w:tc>
          <w:tcPr/>
          <w:p>
            <w:pPr>
              <w:pStyle w:val="Compact"/>
            </w:pPr>
            <w:r>
              <w:t xml:space="preserve">Rok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Dodavanje druge rute: Ravne Njive → Lučac/Meje</w:t>
            </w:r>
          </w:p>
        </w:tc>
        <w:tc>
          <w:tcPr/>
          <w:p>
            <w:pPr>
              <w:pStyle w:val="Compact"/>
            </w:pPr>
            <w:r>
              <w:t xml:space="preserve">Rujan 2027.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Eventualno proširenje na predmetnu nastavu (5.–8. razred)</w:t>
            </w:r>
          </w:p>
        </w:tc>
        <w:tc>
          <w:tcPr/>
          <w:p>
            <w:pPr>
              <w:pStyle w:val="Compact"/>
            </w:pPr>
            <w:r>
              <w:t xml:space="preserve">Rujan 2027.</w:t>
            </w:r>
          </w:p>
        </w:tc>
      </w:tr>
    </w:tbl>
    <w:bookmarkEnd w:id="39"/>
    <w:bookmarkStart w:id="40" w:name="faza-3-pregled-i-tranzicija-2029.2030."/>
    <w:p>
      <w:pPr>
        <w:pStyle w:val="Heading3"/>
      </w:pPr>
      <w:r>
        <w:t xml:space="preserve">Faza 3 — Pregled i tranzicija (2029.–2030.)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Korak</w:t>
            </w:r>
          </w:p>
        </w:tc>
        <w:tc>
          <w:tcPr/>
          <w:p>
            <w:pPr>
              <w:pStyle w:val="Compact"/>
            </w:pPr>
            <w:r>
              <w:t xml:space="preserve">Rok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Dovršetak NPOO proširenja</w:t>
            </w:r>
          </w:p>
        </w:tc>
        <w:tc>
          <w:tcPr/>
          <w:p>
            <w:pPr>
              <w:pStyle w:val="Compact"/>
            </w:pPr>
            <w:r>
              <w:t xml:space="preserve">2028.–2030.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Pregled potrebe preraspodjele nasuprot novim kapacitetima</w:t>
            </w:r>
          </w:p>
        </w:tc>
        <w:tc>
          <w:tcPr/>
          <w:p>
            <w:pPr>
              <w:pStyle w:val="Compact"/>
            </w:pPr>
            <w:r>
              <w:t xml:space="preserve">2029.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Postupno ukidanje ili prenamjena autobusa</w:t>
            </w:r>
          </w:p>
        </w:tc>
        <w:tc>
          <w:tcPr/>
          <w:p>
            <w:pPr>
              <w:pStyle w:val="Compact"/>
            </w:pPr>
            <w:r>
              <w:t xml:space="preserve">2030.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karta-dionika"/>
    <w:p>
      <w:pPr>
        <w:pStyle w:val="Heading2"/>
      </w:pPr>
      <w:r>
        <w:t xml:space="preserve">10. Karta dionika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Dionik</w:t>
            </w:r>
          </w:p>
        </w:tc>
        <w:tc>
          <w:tcPr/>
          <w:p>
            <w:pPr>
              <w:pStyle w:val="Compact"/>
            </w:pPr>
            <w:r>
              <w:t xml:space="preserve">Uloga</w:t>
            </w:r>
          </w:p>
        </w:tc>
        <w:tc>
          <w:tcPr/>
          <w:p>
            <w:pPr>
              <w:pStyle w:val="Compact"/>
            </w:pPr>
            <w:r>
              <w:t xml:space="preserve">Potrebna akcija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 Split</w:t>
            </w:r>
          </w:p>
        </w:tc>
        <w:tc>
          <w:tcPr/>
          <w:p>
            <w:pPr>
              <w:pStyle w:val="Compact"/>
            </w:pPr>
            <w:r>
              <w:t xml:space="preserve">Ključni donositelj odluka</w:t>
            </w:r>
          </w:p>
        </w:tc>
        <w:tc>
          <w:tcPr/>
          <w:p>
            <w:pPr>
              <w:pStyle w:val="Compact"/>
            </w:pPr>
            <w:r>
              <w:t xml:space="preserve">Proračun, politička volja, koordinacija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MZO</w:t>
            </w:r>
          </w:p>
        </w:tc>
        <w:tc>
          <w:tcPr/>
          <w:p>
            <w:pPr>
              <w:pStyle w:val="Compact"/>
            </w:pPr>
            <w:r>
              <w:t xml:space="preserve">Regulatorno tijelo</w:t>
            </w:r>
          </w:p>
        </w:tc>
        <w:tc>
          <w:tcPr/>
          <w:p>
            <w:pPr>
              <w:pStyle w:val="Compact"/>
            </w:pPr>
            <w:r>
              <w:t xml:space="preserve">Odobrenje mehanizma upisa izvan školskog rajona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Ravnatelji škola (istok)</w:t>
            </w:r>
          </w:p>
        </w:tc>
        <w:tc>
          <w:tcPr/>
          <w:p>
            <w:pPr>
              <w:pStyle w:val="Compact"/>
            </w:pPr>
            <w:r>
              <w:t xml:space="preserve">Vjerojatno naklonjeni</w:t>
            </w:r>
          </w:p>
        </w:tc>
        <w:tc>
          <w:tcPr/>
          <w:p>
            <w:pPr>
              <w:pStyle w:val="Compact"/>
            </w:pPr>
            <w:r>
              <w:t xml:space="preserve">Roditeljska komunikacija, organizacija polazišta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Ravnatelji škola (centar)</w:t>
            </w:r>
          </w:p>
        </w:tc>
        <w:tc>
          <w:tcPr/>
          <w:p>
            <w:pPr>
              <w:pStyle w:val="Compact"/>
            </w:pPr>
            <w:r>
              <w:t xml:space="preserve">Vjerojatno naklonjeni</w:t>
            </w:r>
          </w:p>
        </w:tc>
        <w:tc>
          <w:tcPr/>
          <w:p>
            <w:pPr>
              <w:pStyle w:val="Compact"/>
            </w:pPr>
            <w:r>
              <w:t xml:space="preserve">Potvrda kapaciteta, dobrodošlica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 Split</w:t>
            </w:r>
          </w:p>
        </w:tc>
        <w:tc>
          <w:tcPr/>
          <w:p>
            <w:pPr>
              <w:pStyle w:val="Compact"/>
            </w:pPr>
            <w:r>
              <w:t xml:space="preserve">Potencijalni izvođač</w:t>
            </w:r>
          </w:p>
        </w:tc>
        <w:tc>
          <w:tcPr/>
          <w:p>
            <w:pPr>
              <w:pStyle w:val="Compact"/>
            </w:pPr>
            <w:r>
              <w:t xml:space="preserve">Ugovoreni prijevoz, vozačka snaga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Roditelji (istočne škole)</w:t>
            </w:r>
          </w:p>
        </w:tc>
        <w:tc>
          <w:tcPr/>
          <w:p>
            <w:pPr>
              <w:pStyle w:val="Compact"/>
            </w:pPr>
            <w:r>
              <w:t xml:space="preserve">Dobrovoljni sudionici</w:t>
            </w:r>
          </w:p>
        </w:tc>
        <w:tc>
          <w:tcPr/>
          <w:p>
            <w:pPr>
              <w:pStyle w:val="Compact"/>
            </w:pPr>
            <w:r>
              <w:t xml:space="preserve">Informirani pristanak, prijava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Splitsko-dalmatinska županija</w:t>
            </w:r>
          </w:p>
        </w:tc>
        <w:tc>
          <w:tcPr/>
          <w:p>
            <w:pPr>
              <w:pStyle w:val="Compact"/>
            </w:pPr>
            <w:r>
              <w:t xml:space="preserve">Okvir nabave</w:t>
            </w:r>
          </w:p>
        </w:tc>
        <w:tc>
          <w:tcPr/>
          <w:p>
            <w:pPr>
              <w:pStyle w:val="Compact"/>
            </w:pPr>
            <w:r>
              <w:t xml:space="preserve">EVV tender mehanizam već postoji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presedani"/>
    <w:p>
      <w:pPr>
        <w:pStyle w:val="Heading2"/>
      </w:pPr>
      <w:r>
        <w:t xml:space="preserve">11. Presedani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SAD:</w:t>
      </w:r>
      <w:r>
        <w:t xml:space="preserve"> </w:t>
      </w:r>
      <w:r>
        <w:t xml:space="preserve">Školski autobus je okosnica javnog obrazovanja — 26 milijuna djece dnevno. Sustav je dizajniran upravo za izjednačavanje pristupa obrazovanju.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Njemačka:</w:t>
      </w:r>
      <w:r>
        <w:t xml:space="preserve"> </w:t>
      </w:r>
      <w:r>
        <w:t xml:space="preserve">Namjenski Schulbusse su standard u prigradskim i ruralnim područjima.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Splitsko-dalmatinska županija:</w:t>
      </w:r>
      <w:r>
        <w:t xml:space="preserve"> </w:t>
      </w:r>
      <w:r>
        <w:t xml:space="preserve">EVV 5/23 i EVV 5/24 — tender za prijevoz učenika osnovnih škola diljem SDŽ već se provodi kao rutinska javna nabava.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Split, 2025.:</w:t>
      </w:r>
      <w:r>
        <w:t xml:space="preserve"> </w:t>
      </w:r>
      <w:r>
        <w:t xml:space="preserve">Besplatni javni prijevoz za sve učenike uveden je bez pravne prepreke. Politički i administrativni presedan postoji lokalno, nedavno i prihvaćeno.</w:t>
      </w:r>
    </w:p>
    <w:p>
      <w:pPr>
        <w:pStyle w:val="BlockText"/>
      </w:pPr>
      <w:r>
        <w:rPr>
          <w:b/>
          <w:bCs/>
        </w:rPr>
        <w:t xml:space="preserve">Split bi bio prvi grad u Hrvatskoj</w:t>
      </w:r>
      <w:r>
        <w:t xml:space="preserve"> </w:t>
      </w:r>
      <w:r>
        <w:t xml:space="preserve">koji uvodi unutargradski školski autobus za preraspodjelu učenika.</w:t>
      </w:r>
      <w:r>
        <w:t xml:space="preserve"> </w:t>
      </w:r>
      <w:r>
        <w:t xml:space="preserve">To je</w:t>
      </w:r>
      <w:r>
        <w:t xml:space="preserve"> </w:t>
      </w:r>
      <w:r>
        <w:rPr>
          <w:b/>
          <w:bCs/>
        </w:rPr>
        <w:t xml:space="preserve">vodstvo</w:t>
      </w:r>
      <w:r>
        <w:t xml:space="preserve">, ne rizik.</w:t>
      </w:r>
    </w:p>
    <w:p>
      <w:r>
        <w:pict>
          <v:rect style="width:0;height:1.5pt" o:hralign="center" o:hrstd="t" o:hr="t"/>
        </w:pict>
      </w:r>
    </w:p>
    <w:bookmarkEnd w:id="43"/>
    <w:bookmarkStart w:id="44" w:name="preporuke"/>
    <w:p>
      <w:pPr>
        <w:pStyle w:val="Heading2"/>
      </w:pPr>
      <w:r>
        <w:t xml:space="preserve">12. Preporuke</w:t>
      </w:r>
    </w:p>
    <w:p>
      <w:pPr>
        <w:pStyle w:val="FirstParagraph"/>
      </w:pPr>
      <w:r>
        <w:rPr>
          <w:b/>
          <w:bCs/>
        </w:rPr>
        <w:t xml:space="preserve">Kratkoročno (2026.):</w:t>
      </w:r>
      <w:r>
        <w:t xml:space="preserve"> </w:t>
      </w:r>
      <w:r>
        <w:t xml:space="preserve">1. Naručiti stručnu studiju izvedivosti (ruta, kapacitet, anketa potražnje)</w:t>
      </w:r>
      <w:r>
        <w:t xml:space="preserve"> </w:t>
      </w:r>
      <w:r>
        <w:t xml:space="preserve">2. Otvoriti razgovor s ravnateljima OŠ Dobri i OŠ Meje</w:t>
      </w:r>
      <w:r>
        <w:t xml:space="preserve"> </w:t>
      </w:r>
      <w:r>
        <w:t xml:space="preserve">3. Uvrstiti Žuti autobus kao stavku u gradski proračun za obrazovanje za 2027.</w:t>
      </w:r>
    </w:p>
    <w:p>
      <w:pPr>
        <w:pStyle w:val="BodyText"/>
      </w:pPr>
      <w:r>
        <w:rPr>
          <w:b/>
          <w:bCs/>
        </w:rPr>
        <w:t xml:space="preserve">Srednjoročno (2027.–2028.):</w:t>
      </w:r>
      <w:r>
        <w:t xml:space="preserve"> </w:t>
      </w:r>
      <w:r>
        <w:t xml:space="preserve">4. Pokrenuti pilot s 1 autobusom, dobrovoljnom prijavom, razredna nastava</w:t>
      </w:r>
      <w:r>
        <w:t xml:space="preserve"> </w:t>
      </w:r>
      <w:r>
        <w:t xml:space="preserve">5. Pratiti i javno objaviti metrike: veličine odjeljenja, smanjenje smjena, zadovoljstvo roditelja</w:t>
      </w:r>
      <w:r>
        <w:t xml:space="preserve"> </w:t>
      </w:r>
      <w:r>
        <w:t xml:space="preserve">6. Prezentirati rezultate MZO-u kao model za ostale hrvatske gradove</w:t>
      </w:r>
    </w:p>
    <w:p>
      <w:pPr>
        <w:pStyle w:val="BodyText"/>
      </w:pPr>
      <w:r>
        <w:rPr>
          <w:b/>
          <w:bCs/>
        </w:rPr>
        <w:t xml:space="preserve">Dugoročno (2029.–2030.):</w:t>
      </w:r>
      <w:r>
        <w:t xml:space="preserve"> </w:t>
      </w:r>
      <w:r>
        <w:t xml:space="preserve">7. Procijeniti nastavak, širenje ili ukidanje kako NPOO gradnja završava</w:t>
      </w:r>
      <w:r>
        <w:t xml:space="preserve"> </w:t>
      </w:r>
      <w:r>
        <w:t xml:space="preserve">8. Dokumentirati naučene lekcije za nacionalnu politiku</w:t>
      </w:r>
    </w:p>
    <w:p>
      <w:r>
        <w:pict>
          <v:rect style="width:0;height:1.5pt" o:hralign="center" o:hrstd="t" o:hr="t"/>
        </w:pict>
      </w:r>
    </w:p>
    <w:bookmarkEnd w:id="44"/>
    <w:bookmarkStart w:id="45" w:name="ključne-poruke-za-prezentaciju"/>
    <w:p>
      <w:pPr>
        <w:pStyle w:val="Heading2"/>
      </w:pPr>
      <w:r>
        <w:t xml:space="preserve">13. Ključne poruke za prezentaciju</w:t>
      </w:r>
    </w:p>
    <w:p>
      <w:pPr>
        <w:pStyle w:val="BlockText"/>
      </w:pPr>
      <w:r>
        <w:rPr>
          <w:b/>
          <w:bCs/>
        </w:rPr>
        <w:t xml:space="preserve">“Split ima dva školska sustava u jednom gradu.”</w:t>
      </w:r>
      <w:r>
        <w:br/>
      </w:r>
      <w:r>
        <w:t xml:space="preserve">Djeca s istoka počinju školu u 15:00 i vraćaju se kući u mraku. Škole u centru imaju prazne učionice svako poslijepodne.</w:t>
      </w:r>
    </w:p>
    <w:p>
      <w:pPr>
        <w:pStyle w:val="BlockText"/>
      </w:pPr>
      <w:r>
        <w:rPr>
          <w:b/>
          <w:bCs/>
        </w:rPr>
        <w:t xml:space="preserve">“Ne trebamo čekati nove škole. Trebamo koristiti ono što već imamo.”</w:t>
      </w:r>
      <w:r>
        <w:br/>
      </w:r>
      <w:r>
        <w:t xml:space="preserve">OŠ Dobri, Meje i Lučac imaju kapacitet za stotine učenika više — danas, ne 2030.</w:t>
      </w:r>
    </w:p>
    <w:p>
      <w:pPr>
        <w:pStyle w:val="BlockText"/>
      </w:pPr>
      <w:r>
        <w:rPr>
          <w:b/>
          <w:bCs/>
        </w:rPr>
        <w:t xml:space="preserve">“Autobus već postoji — samo nema žute boje.”</w:t>
      </w:r>
      <w:r>
        <w:br/>
      </w:r>
      <w:r>
        <w:t xml:space="preserve">Split već plaća svim učenicima javni prijevoz. Namjenski školski autobus isti je princip, s rasporedom prilagođenim školskom danu.</w:t>
      </w:r>
    </w:p>
    <w:p>
      <w:pPr>
        <w:pStyle w:val="BlockText"/>
      </w:pPr>
      <w:r>
        <w:rPr>
          <w:b/>
          <w:bCs/>
        </w:rPr>
        <w:t xml:space="preserve">“Jedan autobus, 50 djece, 90.000 eura godišnje.”</w:t>
      </w:r>
      <w:r>
        <w:br/>
      </w:r>
      <w:r>
        <w:t xml:space="preserve">To je manje od 1% troška jedne nove škole. Može početi u siječnju 2027.</w:t>
      </w:r>
    </w:p>
    <w:p>
      <w:r>
        <w:pict>
          <v:rect style="width:0;height:1.5pt" o:hralign="center" o:hrstd="t" o:hr="t"/>
        </w:pict>
      </w:r>
    </w:p>
    <w:bookmarkEnd w:id="45"/>
    <w:bookmarkStart w:id="46" w:name="izvori"/>
    <w:p>
      <w:pPr>
        <w:pStyle w:val="Heading2"/>
      </w:pPr>
      <w:r>
        <w:t xml:space="preserve">14. Izvori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Izvor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Mejaši — O školi</w:t>
            </w:r>
          </w:p>
        </w:tc>
        <w:tc>
          <w:tcPr/>
          <w:p>
            <w:pPr>
              <w:pStyle w:val="Compact"/>
            </w:pPr>
            <w:r>
              <w:t xml:space="preserve">https://os-mejasi-st.skole.hr/o-skoli/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Dalmatinski portal: OŠ Mejaši</w:t>
            </w:r>
          </w:p>
        </w:tc>
        <w:tc>
          <w:tcPr/>
          <w:p>
            <w:pPr>
              <w:pStyle w:val="Compact"/>
            </w:pPr>
            <w:r>
              <w:t xml:space="preserve">https://dalmatinskiportal.hr/vijesti/radovi-na-istoku-splita-od-jeseni-os-mejasi-prostranija-i-ljepsa–gradska-uprava-najavila-gradnju-nove-skole/45852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 Split: NPOO 18,2 mil. EUR</w:t>
            </w:r>
          </w:p>
        </w:tc>
        <w:tc>
          <w:tcPr/>
          <w:p>
            <w:pPr>
              <w:pStyle w:val="Compact"/>
            </w:pPr>
            <w:r>
              <w:t xml:space="preserve">https://split.hr/clanak/grad-split-osigurao-vise-od-182-milijuna-eura-za-tri-osnovne-skole-iz-npoo-a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Lučac: Godišnji plan 2025./26.</w:t>
            </w:r>
          </w:p>
        </w:tc>
        <w:tc>
          <w:tcPr/>
          <w:p>
            <w:pPr>
              <w:pStyle w:val="Compact"/>
            </w:pPr>
            <w:r>
              <w:t xml:space="preserve">https://oslucac.hr/wp-content/uploads/2025/10/Godisnji-plan-i-program-rada-skole-2025_2026.pdf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SDŽ: EVV 5/23 – prijevoz učenika</w:t>
            </w:r>
          </w:p>
        </w:tc>
        <w:tc>
          <w:tcPr/>
          <w:p>
            <w:pPr>
              <w:pStyle w:val="Compact"/>
            </w:pPr>
            <w:r>
              <w:t xml:space="preserve">https://www.dalmacija.hr/javna-nabava/postupci-javne-nabave/prijevoz-ucenika-osnovnih-skola-na-podrucju-splitsko-dalmatinske-zupanije-2-grupe-evv-523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SDŽ: EVV 5/24 – prijevoz učenika</w:t>
            </w:r>
          </w:p>
        </w:tc>
        <w:tc>
          <w:tcPr/>
          <w:p>
            <w:pPr>
              <w:pStyle w:val="Compact"/>
            </w:pPr>
            <w:r>
              <w:t xml:space="preserve">https://www.dalmacija.hr/javna-nabava/postupci-javne-nabave/prijevoz-ucenika-osnovnih-skola-na-podrucju-splitsko-dalmatinske-zupanije-evv-524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Državni pedagoški standard — NN 63/2008</w:t>
            </w:r>
          </w:p>
        </w:tc>
        <w:tc>
          <w:tcPr/>
          <w:p>
            <w:pPr>
              <w:pStyle w:val="Compact"/>
            </w:pPr>
            <w:r>
              <w:t xml:space="preserve">https://narodne-novine.nn.hr/clanci/sluzbeni/2008_06_63_2129.html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Pravilnik o broju učenika — NN 124/2009</w:t>
            </w:r>
          </w:p>
        </w:tc>
        <w:tc>
          <w:tcPr/>
          <w:p>
            <w:pPr>
              <w:pStyle w:val="Compact"/>
            </w:pPr>
            <w:r>
              <w:t xml:space="preserve">https://narodne-novine.nn.hr/clanci/sluzbeni/2009_10_124_3065.html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Dalmacija danas: Besplatni prijevoz 2025.</w:t>
            </w:r>
          </w:p>
        </w:tc>
        <w:tc>
          <w:tcPr/>
          <w:p>
            <w:pPr>
              <w:pStyle w:val="Compact"/>
            </w:pPr>
            <w:r>
              <w:t xml:space="preserve">https://www.dalmacijadanas.hr/od-ponedjeljka-besplatan-prijevoz-za-sve-ucenike-i-studente-s-prebivalistem-u-splitu/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srednja.hr: Trosmjenske škole 2022.</w:t>
            </w:r>
          </w:p>
        </w:tc>
        <w:tc>
          <w:tcPr/>
          <w:p>
            <w:pPr>
              <w:pStyle w:val="Compact"/>
            </w:pPr>
            <w:r>
              <w:t xml:space="preserve">https://www.srednja.hr/novosti/ovo-su-skole-koje-danas-u-2022-jos-uvijek-rade-u-tri-smjene-kroz-pet-godina-to-bi-se-trebalo-promijeniti/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grademoj.hr: Split 16,5 mil. EUR</w:t>
            </w:r>
          </w:p>
        </w:tc>
        <w:tc>
          <w:tcPr/>
          <w:p>
            <w:pPr>
              <w:pStyle w:val="Compact"/>
            </w:pPr>
            <w:r>
              <w:t xml:space="preserve">https://grademoj.hr/2026/02/03/split-ulaze-vise-od-165-milijuna-eura-u-obnovu-i-dogradnju-osnovnih-skola/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 Split — Najam autobusa</w:t>
            </w:r>
          </w:p>
        </w:tc>
        <w:tc>
          <w:tcPr/>
          <w:p>
            <w:pPr>
              <w:pStyle w:val="Compact"/>
            </w:pPr>
            <w:r>
              <w:t xml:space="preserve">https://www.promet-split.hr/usluge/najam-autobusa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GPP Osijek — 5 školskih autobusa 570.000 EUR</w:t>
            </w:r>
          </w:p>
        </w:tc>
        <w:tc>
          <w:tcPr/>
          <w:p>
            <w:pPr>
              <w:pStyle w:val="Compact"/>
            </w:pPr>
            <w:r>
              <w:t xml:space="preserve">https://komarilos.com/politika-i-gradska-uprava/skolski-autobusi-povecana-flota-gpp-a-za-pet-novih-autobusa-vrijednih-570-000-eura/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Cijena vozača autobusa — Hrvatska</w:t>
            </w:r>
          </w:p>
        </w:tc>
        <w:tc>
          <w:tcPr/>
          <w:p>
            <w:pPr>
              <w:pStyle w:val="Compact"/>
            </w:pPr>
            <w:r>
              <w:t xml:space="preserve">https://www.adorio.hr/placa/vozac-autobusa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Gorivo Hrvatska — HAK</w:t>
            </w:r>
          </w:p>
        </w:tc>
        <w:tc>
          <w:tcPr/>
          <w:p>
            <w:pPr>
              <w:pStyle w:val="Compact"/>
            </w:pPr>
            <w:r>
              <w:t xml:space="preserve">https://www.hak.hr/info/cijene-goriva/</w:t>
            </w:r>
          </w:p>
        </w:tc>
      </w:tr>
    </w:tbl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2026-05-16T09:46:48Z</dcterms:created>
  <dcterms:modified xsi:type="dcterms:W3CDTF">2026-05-16T09:46:48Z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