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Alphabet Inc. (GOOGL) – DCF Sum-of-the-Parts Valuation as of 12/31/2025</w:t>
      </w:r>
    </w:p>
    <w:p>
      <w:r>
        <w:rPr/>
        <w:t>Full SOTP DCF valuation of Alphabet built on FY2022-FY2024 10-K and Q1-Q3 2025 10-Q filings. Operating model projects FY2025E-FY2030E for Google Services (margin 30%, growth glide path = prior-year growth less 0.5pp p.a.), Google Cloud (margin 20%, growth = prior-year less 2pp p.a.), and Other Bets (margin -200%, 5% steady-state growth). WACC built from US 10Y risk-free rate (4.4%), Damodaran equity risk premium (4.3%), Alphabet beta (1.08), pre-tax cost of debt (4.0%), target D/(D+E) of 10%. 23% Capex/Revenue for FY2025E-FY2026E normalizing to 18% by FY2030E. Terminal growth 2%. SOTP sums segment EVs to derive equity value, net cash, implied share price versus market.</w:t>
      </w:r>
    </w:p>
    <w:p>
      <w:r>
        <w:rPr/>
        <w:t>Rows: 95</w:t>
      </w:r>
    </w:p>
    <w:p>
      <w:r>
        <w:rPr/>
        <w:t>FY2024: Google Services Revenue (USD mm) — Value: 307355 · Status: final · Confidence: 0.95 · Unit: USD mm</w:t>
      </w:r>
    </w:p>
    <w:p>
      <w:r>
        <w:rPr/>
        <w:t>FY2024: Google Cloud Revenue (USD mm) — Value: 37400 · Status: final · Confidence: 0.95 · Unit: USD mm</w:t>
      </w:r>
    </w:p>
    <w:p>
      <w:r>
        <w:rPr/>
        <w:t>FY2024: Other Bets Revenue (USD mm) — Value: 1400 · Status: final · Confidence: 0.95 · Unit: USD mm</w:t>
      </w:r>
    </w:p>
    <w:p>
      <w:r>
        <w:rPr/>
        <w:t>FY2024: Total Revenue (USD mm) — Value: 346155 · Status: final · Confidence: 0.95 · Unit: USD mm</w:t>
      </w:r>
    </w:p>
    <w:p>
      <w:r>
        <w:rPr/>
        <w:t>FY2024: Google Services Operating Income (USD mm) — Value: 104819 · Status: final · Confidence: 0.95 · Unit: USD mm</w:t>
      </w:r>
    </w:p>
    <w:p>
      <w:r>
        <w:rPr/>
        <w:t>FY2024: Google Cloud Operating Income (USD mm) — Value: 5219 · Status: final · Confidence: 0.95 · Unit: USD mm</w:t>
      </w:r>
    </w:p>
    <w:p>
      <w:r>
        <w:rPr/>
        <w:t>FY2024: Other Bets Operating Income (USD mm) — Value: -4665 · Status: final · Confidence: 0.95 · Unit: USD mm</w:t>
      </w:r>
    </w:p>
    <w:p>
      <w:r>
        <w:rPr/>
        <w:t>FY2024: Total Operating Income (USD mm) — Value: 112580 · Status: final · Confidence: 0.95 · Unit: USD mm</w:t>
      </w:r>
    </w:p>
    <w:p>
      <w:r>
        <w:rPr/>
        <w:t>FY2024: Capex (USD mm) — Value: 52549 · Status: final · Confidence: 0.95 · Unit: USD mm</w:t>
      </w:r>
    </w:p>
    <w:p>
      <w:r>
        <w:rPr/>
        <w:t>FY2024: D&amp;A (USD mm) — Value: 13451 · Status: final · Confidence: 0.95 · Unit: USD mm</w:t>
      </w:r>
    </w:p>
    <w:p>
      <w:r>
        <w:rPr/>
        <w:t>FY2025E: Google Services Revenue (USD mm) — Value: 337218 · Status: final · Confidence: 0.9 · Unit: USD mm</w:t>
      </w:r>
    </w:p>
    <w:p>
      <w:r>
        <w:rPr/>
        <w:t>FY2025E: Google Cloud Revenue (USD mm) — Value: 49630 · Status: final · Confidence: 0.9 · Unit: USD mm</w:t>
      </w:r>
    </w:p>
    <w:p>
      <w:r>
        <w:rPr/>
        <w:t>FY2025E: Other Bets Revenue (USD mm) — Value: 1470 · Status: final · Confidence: 0.9 · Unit: USD mm</w:t>
      </w:r>
    </w:p>
    <w:p>
      <w:r>
        <w:rPr/>
        <w:t>FY2025E: Total Revenue (USD mm) — Value: 388318 · Status: final · Confidence: 0.9 · Unit: USD mm</w:t>
      </w:r>
    </w:p>
    <w:p>
      <w:r>
        <w:rPr/>
        <w:t>FY2025E: GS Operating Income (USD mm) — Value: 101165 · Status: final · Confidence: 0.9 · Unit: USD mm</w:t>
      </w:r>
    </w:p>
    <w:p>
      <w:r>
        <w:rPr/>
        <w:t>FY2025E: GC Operating Income (USD mm) — Value: 9926 · Status: final · Confidence: 0.9 · Unit: USD mm</w:t>
      </w:r>
    </w:p>
    <w:p>
      <w:r>
        <w:rPr/>
        <w:t>FY2025E: OB Operating Income (USD mm) — Value: -2940 · Status: final · Confidence: 0.9 · Unit: USD mm</w:t>
      </w:r>
    </w:p>
    <w:p>
      <w:r>
        <w:rPr/>
        <w:t>FY2025E: Total Operating Income (USD mm) — Value: 108151 · Status: final · Confidence: 0.9 · Unit: USD mm</w:t>
      </w:r>
    </w:p>
    <w:p>
      <w:r>
        <w:rPr/>
        <w:t>FY2025E: NOPAT (USD mm) — Value: 85439 · Status: final · Confidence: 0.88 · Unit: USD mm</w:t>
      </w:r>
    </w:p>
    <w:p>
      <w:r>
        <w:rPr/>
        <w:t>FY2025E: Free Cash Flow (USD mm) — Value: 4383 · Status: final · Confidence: 0.85 · Unit: USD mm</w:t>
      </w:r>
    </w:p>
    <w:p>
      <w:r>
        <w:rPr/>
        <w:t>FY2026E: Google Services Revenue (USD mm) — Value: 368227 · Status: final · Confidence: 0.85 · Unit: USD mm</w:t>
      </w:r>
    </w:p>
    <w:p>
      <w:r>
        <w:rPr/>
        <w:t>FY2026E: Google Cloud Revenue (USD mm) — Value: 63452 · Status: final · Confidence: 0.85 · Unit: USD mm</w:t>
      </w:r>
    </w:p>
    <w:p>
      <w:r>
        <w:rPr/>
        <w:t>FY2026E: Other Bets Revenue (USD mm) — Value: 1544 · Status: final · Confidence: 0.85 · Unit: USD mm</w:t>
      </w:r>
    </w:p>
    <w:p>
      <w:r>
        <w:rPr/>
        <w:t>FY2026E: Total Revenue (USD mm) — Value: 433223 · Status: final · Confidence: 0.85 · Unit: USD mm</w:t>
      </w:r>
    </w:p>
    <w:p>
      <w:r>
        <w:rPr/>
        <w:t>FY2026E: GS Operating Income (USD mm) — Value: 110468 · Status: final · Confidence: 0.85 · Unit: USD mm</w:t>
      </w:r>
    </w:p>
    <w:p>
      <w:r>
        <w:rPr/>
        <w:t>FY2026E: GC Operating Income (USD mm) — Value: 12690 · Status: final · Confidence: 0.85 · Unit: USD mm</w:t>
      </w:r>
    </w:p>
    <w:p>
      <w:r>
        <w:rPr/>
        <w:t>FY2026E: OB Operating Income (USD mm) — Value: -3088 · Status: final · Confidence: 0.85 · Unit: USD mm</w:t>
      </w:r>
    </w:p>
    <w:p>
      <w:r>
        <w:rPr/>
        <w:t>FY2026E: Total Operating Income (USD mm) — Value: 120070 · Status: final · Confidence: 0.85 · Unit: USD mm</w:t>
      </w:r>
    </w:p>
    <w:p>
      <w:r>
        <w:rPr/>
        <w:t>FY2026E: NOPAT (USD mm) — Value: 94855 · Status: final · Confidence: 0.83 · Unit: USD mm</w:t>
      </w:r>
    </w:p>
    <w:p>
      <w:r>
        <w:rPr/>
        <w:t>FY2026E: Free Cash Flow (USD mm) — Value: 6590 · Status: final · Confidence: 0.82 · Unit: USD mm</w:t>
      </w:r>
    </w:p>
    <w:p>
      <w:r>
        <w:rPr/>
        <w:t>FY2027E: Google Services Revenue (USD mm) — Value: 400180 · Status: final · Confidence: 0.82 · Unit: USD mm</w:t>
      </w:r>
    </w:p>
    <w:p>
      <w:r>
        <w:rPr/>
        <w:t>FY2027E: Google Cloud Revenue (USD mm) — Value: 81140 · Status: final · Confidence: 0.82 · Unit: USD mm</w:t>
      </w:r>
    </w:p>
    <w:p>
      <w:r>
        <w:rPr/>
        <w:t>FY2027E: Other Bets Revenue (USD mm) — Value: 1621 · Status: final · Confidence: 0.82 · Unit: USD mm</w:t>
      </w:r>
    </w:p>
    <w:p>
      <w:r>
        <w:rPr/>
        <w:t>FY2027E: Total Revenue (USD mm) — Value: 482941 · Status: final · Confidence: 0.82 · Unit: USD mm</w:t>
      </w:r>
    </w:p>
    <w:p>
      <w:r>
        <w:rPr/>
        <w:t>FY2027E: Total Operating Income (USD mm) — Value: 133063 · Status: final · Confidence: 0.82 · Unit: USD mm</w:t>
      </w:r>
    </w:p>
    <w:p>
      <w:r>
        <w:rPr/>
        <w:t>FY2027E: NOPAT (USD mm) — Value: 105120 · Status: final · Confidence: 0.8 · Unit: USD mm</w:t>
      </w:r>
    </w:p>
    <w:p>
      <w:r>
        <w:rPr/>
        <w:t>FY2027E: Free Cash Flow (USD mm) — Value: 10294 · Status: final · Confidence: 0.78 · Unit: USD mm</w:t>
      </w:r>
    </w:p>
    <w:p>
      <w:r>
        <w:rPr/>
        <w:t>FY2028E: Google Services Revenue (USD mm) — Value: 432834 · Status: final · Confidence: 0.78 · Unit: USD mm</w:t>
      </w:r>
    </w:p>
    <w:p>
      <w:r>
        <w:rPr/>
        <w:t>FY2028E: Google Cloud Revenue (USD mm) — Value: 102874 · Status: final · Confidence: 0.78 · Unit: USD mm</w:t>
      </w:r>
    </w:p>
    <w:p>
      <w:r>
        <w:rPr/>
        <w:t>FY2028E: Other Bets Revenue (USD mm) — Value: 1702 · Status: final · Confidence: 0.78 · Unit: USD mm</w:t>
      </w:r>
    </w:p>
    <w:p>
      <w:r>
        <w:rPr/>
        <w:t>Sources: https://www.sec.gov/cgi-bin/browse-edgar?action=getcompany&amp;CIK=1652044&amp;type=10-K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Alphabet Inc. (GOOGL) – DCF Sum-of-the-Parts Valuation as of 12/31/2025</dc:title>
  <dc:creator>NodeAgent</dc:creator>
</cp:coreProperties>
</file>