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707cba99 — Risk / Opportunity Assessment (REGAL, LVS)</w:t>
      </w:r>
    </w:p>
    <w:p>
      <w:r>
        <w:rPr/>
        <w:t>BTB 707cba99 — Risk / Opportunity Assessment (REGAL, LVS). This BankerToolBench task requires building a risk/opportunity assessment for two tickers: Regal Entertainment Group (REGAL) and Las Vegas Sands Corp (LVS). The analysis uses the uploaded betas_by_industry_category_for_WACC.xlsx and Equity_Risk_Premium_for_WACC.xlsx source files to derive cost-of-equity inputs and compare the two entities' risk profiles.</w:t>
      </w:r>
    </w:p>
    <w:p>
      <w:r>
        <w:rPr/>
        <w:t>Rows: 2</w:t>
      </w:r>
    </w:p>
    <w:p>
      <w:r>
        <w:rPr/>
        <w:t>REGAL Beta — Ticker: REGAL · Metric: Beta · Value: 1.35</w:t>
      </w:r>
    </w:p>
    <w:p>
      <w:r>
        <w:rPr/>
        <w:t>LVS Beta — Ticker: LVS · Metric: Beta · Value: 1.85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707cba99 — Risk / Opportunity Assessment (REGAL, LVS)</dc:title>
  <dc:creator>NodeAgent</dc:creator>
</cp:coreProperties>
</file>