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BTB-44e44478: ECM WACC Analysis with Industry Betas and Equity Risk Premium</w:t>
      </w:r>
    </w:p>
    <w:p>
      <w:r>
        <w:rPr/>
        <w:t>BTB-44e44478 WACC analysis. Cost of equity via CAPM: risk-free rate 2.85% plus levered beta 1.25 times ERP 5.50% equals 9.73%. Cost of debt 4.50%, tax rate 21%, D/E 0.35, WACC 8.20%. Entities covered: ECM, NCRT, FINRA, ASC, BD, UW, DTC, LLP, EDGAR, DFIN, N.A, CUSIP, NOT, ONLY, GAAP, JOBS, NSMIA, DC, CT, SAS, AU.</w:t>
      </w:r>
    </w:p>
    <w:p>
      <w:r>
        <w:rPr/>
        <w:t>Rows: 2</w:t>
      </w:r>
    </w:p>
    <w:p>
      <w:r>
        <w:rPr/>
        <w:t>ECM WACC Summary — Ticker: ECM · Levered Beta: 1.25 · Equity Risk Premium Pct: 5.5 · Risk Free Rate Pct: 2.85 · Cost Of Equity Pct: 9.73 · Cost Of Debt Pct: 4.5 · Tax Rate Pct: 21 · Debt To Equity: 0.35 · Wacc Pct: 8.2 · Regulator: FINRA · Accounting: GAAP · Filing System: EDGAR</w:t>
      </w:r>
    </w:p>
    <w:p>
      <w:r>
        <w:rPr/>
        <w:t>NCRT Regulatory Profile — Entity Type: NCRT · Registration: FINRA · Accounting Standard: ASC · Dealer Type: BD · Role: UW · Clearing Agency: DTC · Liability Structure: LLP · Filing Agent: DFIN · Cusip Designation: N.A · Identifier: CUSIP · Disclaimer 1: NOT · Disclaimer 2: ONLY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BTB-44e44478: ECM WACC Analysis with Industry Betas and Equity Risk Premium</dc:title>
  <dc:creator>NodeAgent</dc:creator>
</cp:coreProperties>
</file>