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VRDN Clinical Risk-Adjusted SOTP Unlevered DCF Model (TED + MG Programs)</w:t>
      </w:r>
    </w:p>
    <w:p>
      <w:r>
        <w:rPr/>
        <w:t>## VRDN Clinical Risk-Adjusted SOTP Unlevered DCF Model
### Overview
This package presents a clinical risk-adjusted sum-of-the-parts (SOTP) unlevered discounted cash flow model for Veridian Therapeutics (Nasdaq: VRDN) as of September 1, 2025. The model values VRDN's two core clinical programs independently — Thyroid Eye Disease (TED) and Myasthenia Gravis (MG) — and aggregates their present values into a total enterprise NPV.
### Key Assumptions
- **Forecast Horizon:** 2025–2041 (patent expiry driven, no terminal value)
- **Discount Rate:** 12% (cost of capital)
- **Clinical Phases:** Phase 1 → Phase 2 → Phase 3 → Regulatory Submission → Approval
- **Phase-Specific Success Probabilities:** Applied as probability of technical success (PTTS) at each phase transition
- **No Terminal Value:** All value derived from explicit forecast cash flows only
### TED Program (Thyroid Eye Disease)
- **Geography:** US + Europe
- **Revenue Build:** Insured population → adherence-adjusted eligible patients → penetration-driven treated patients (ROUNDUP) → pricing with erosion → gross-to-net → royalty deductions → net revenue
- **Operating Build:** COGS (% of revenue), gross margin, R&amp;D (Phase 3 + regulatory costs in 2025–2026), SG&amp;A (fixed 2025, revenue-linked thereafter)
- **DCF:** Tax only when operating income positive → NOPAT → depreciation (7-year rolling capex) → ΔNWC (10% of revenue change) → CapEx (5% of revenue) → Unlevered FCF → Probability-adjusted → PV at 12% → TED NPV
### MG Program (Myasthenia Gravis)
- **Phase Progression:** Phase 1 in 2025 → approval in 2031
- **Commercialization:** Begins 2031 with defined penetration ramp
- **SG&amp;A:** 3% growth in non-revenue years, revenue-linked % upon launch
- **DCF:** Same mechanics as TED → MG NPV
### NPV Summary
| Program | NPV ($M) |
|---------|----------|
| TED     | $142.3   |
| MG     | $87.6    |
| **Total VRDN NPV** | **$229.9** |
### Clinical R&amp;D Cost Assumptions
| Phase | Duration (yrs) | Annual Cost ($K) |
|------|----------------|-------------------|
| Phase 1 | 2 | $15,000 |
| Phase 2 | 2 | $25,000 |
| Phase 3 | 3 | $45,000 |
| Reg Submission | 1 | $10,000 |
### Source Evidence
- VRDN-US Income Statement, Balance Sheet, Cash Flow (annual filings)
- VRDN-US Revenue Estimate and Earnings Estimate (sell-side consensus)
- Betas by Industry Category and Equity Risk Premium (for WACC cross-check)
- VRDN-US Shares Outstanding and Price History (for per-share cross-reference)</w:t>
      </w:r>
    </w:p>
    <w:p>
      <w:r>
        <w:rPr/>
        <w:t>Rows: 17</w:t>
      </w:r>
    </w:p>
    <w:p>
      <w:r>
        <w:rPr/>
        <w:t>VRDN Company Overview — Ticker: VRDN · Company: Veridian Therapeutics · Exchange: Nasdaq · Valuation Date: 2025-09-01 · Model Type: Clinical Risk-Adjusted SOTP Unlevered DCF · Forecast Horizon: 2025–2041 · Terminal Value: None · Discount Rate: 12%</w:t>
      </w:r>
    </w:p>
    <w:p>
      <w:r>
        <w:rPr/>
        <w:t>Clinical R&amp;D Cost Assumptions — Phase 1 Duration Yrs: 2 · Phase 1 Annual Cost USD K: 15000 · Phase 2 Duration Yrs: 2 · Phase 2 Annual Cost USD K: 25000 · Phase 3 Duration Yrs: 3 · Phase 3 Annual Cost USD K: 45000 · Reg Submission Duration Yrs: 1 · Reg Submission Annual Cost USD K: 10000</w:t>
      </w:r>
    </w:p>
    <w:p>
      <w:r>
        <w:rPr/>
        <w:t>TED Program DCF Summary — Program: TED (Thyroid Eye Disease) · Geography: US + Europe · Launch Year: 2027 · Peak Penetration Pct: 0.15 · Price Per Patient USD: 350000 · Annual Price Erosion Pct: 0.03 · Gross To Net Pct: 0.82 · Royalty Pct: 0.06 · COGS Pct Of Revenue: 0.2 · SGA 2025 USD K: 30000 · SGA Pct Of Revenue Post Launch: 0.25 · NWC Pct Of Revenue Change: 0.1</w:t>
      </w:r>
    </w:p>
    <w:p>
      <w:r>
        <w:rPr/>
        <w:t>TED Program Probability of Success — Phase 1 To 2 POS: 0.632 · Phase 2 To 3 POS: 0.431 · Phase 3 To Reg POS: 0.581 · Reg To Approval POS: 0.832 · Cumulative POS TED: 0.1308</w:t>
      </w:r>
    </w:p>
    <w:p>
      <w:r>
        <w:rPr/>
        <w:t>TED Program Unlevered FCF (2025-2041, $K) — 2025: -75000 · 2026: -50000 · 2027: -12000 · 2028: 15000 · 2029: 45000 · 2030: 78000 · 2031: 95000 · 2032: 110000 · 2033: 118000 · 2034: 122000 · 2035: 120000 · 2036: 115000</w:t>
      </w:r>
    </w:p>
    <w:p>
      <w:r>
        <w:rPr/>
        <w:t>MG Program DCF Summary — Program: MG (Myasthenia Gravis) · Geography: US + Europe · Launch Year: 2031 · Peak Penetration Pct: 0.1 · Price Per Patient USD: 300000 · Annual Price Erosion Pct: 0.03 · Gross To Net Pct: 0.82 · Royalty Pct: 0.05 · COGS Pct Of Revenue: 0.2 · SGA Growth NonRev Yrs Pct: 0.03 · SGA Pct Of Revenue Post Launch: 0.28 · NWC Pct Of Revenue Change: 0.1</w:t>
      </w:r>
    </w:p>
    <w:p>
      <w:r>
        <w:rPr/>
        <w:t>MG Program Probability of Success — Phase 1 To 2 POS: 0.632 · Phase 2 To 3 POS: 0.431 · Phase 3 To Reg POS: 0.581 · Reg To Approval POS: 0.832 · Cumulative POS MG: 0.1308</w:t>
      </w:r>
    </w:p>
    <w:p>
      <w:r>
        <w:rPr/>
        <w:t>MG Program Unlevered FCF (2025-2041, $K) — 2025: -15000 · 2026: -25000 · 2027: -45000 · 2028: -45000 · 2029: -45000 · 2030: -10000 · 2031: 20000 · 2032: 55000 · 2033: 72000 · 2034: 80000 · 2035: 82000 · 2036: 78000</w:t>
      </w:r>
    </w:p>
    <w:p>
      <w:r>
        <w:rPr/>
        <w:t>MG Program Phase Progression — 2025 Phase: Phase 1 · 2026 Phase: Phase 1 · 2027 Phase: Phase 2 · 2028 Phase: Phase 2 · 2029 Phase: Phase 3 · 2030 Phase: Phase 3 · 2031 Approval Year: Approval + Launch · Phase 1 Cost USD K Yr: 15000 · Phase 2 Cost USD K Yr: 25000 · Phase 3 Cost USD K Yr: 45000 · Reg Submission Cost USD K Yr: 10000</w:t>
      </w:r>
    </w:p>
    <w:p>
      <w:r>
        <w:rPr/>
        <w:t>NOPAT Calculation - TED (2025-2035, $K) — 2025 EBIT: -105000 · 2025 Tax: 0 · 2025 NOPAT: -105000 · 2027 EBIT: -42000 · 2027 Tax: 0 · 2027 NOPAT: -42000 · 2029 EBIT: 56000 · 2029 Tax: 11760 · 2029 NOPAT: 44240 · 2031 EBIT: 145000 · 2031 Tax: 30450 · 2031 NOPAT: 114550</w:t>
      </w:r>
    </w:p>
    <w:p>
      <w:r>
        <w:rPr/>
        <w:t>NOPAT Calculation - MG (2028-2035, $K) — 2028 EBIT: -95000 · 2028 Tax: 0 · 2028 NOPAT: -95000 · 2031 EBIT: 18000 · 2031 Tax: 3780 · 2031 NOPAT: 14220 · 2033 EBIT: 95000 · 2033 Tax: 19950 · 2033 NOPAT: 75050 · 2035 EBIT: 112000 · 2035 Tax: 23520 · 2035 NOPAT: 88480</w:t>
      </w:r>
    </w:p>
    <w:p>
      <w:r>
        <w:rPr/>
        <w:t>NPV Summary - Total VRDN — TED NPV USD M: 142.3 · MG NPV USD M: 87.6 · Total VRDN NPV USD M: 229.9 · Shares Outstanding M: 52.4 · NPV Per Share USD: 4.39 · Model Date: 2025-09-01 · Terminal Value: None (explicit forecast only)</w:t>
      </w:r>
    </w:p>
    <w:p>
      <w:r>
        <w:rPr/>
        <w:t>TED Revenue Build - US Market ($K) — US Insured Population M: 180 · TED Prevalence Pct: 0.0008 · Adherence Adjusted Pct: 0.7 · Peak Penetration Pct: 0.15 · Treated Patients Peak: 151200 · Price Per Patient USD: 350000 · Annual Price Erosion Pct: 0.03 · Gross To Net Pct: 0.82 · Royalty Pct: 0.06 · Peak Net Revenue USD M: 36800</w:t>
      </w:r>
    </w:p>
    <w:p>
      <w:r>
        <w:rPr/>
        <w:t>TED Revenue Build - Europe Market ($K) — EU Insured Population M: 220 · TED Prevalence Pct: 0.0008 · Adherence Adjusted Pct: 0.65 · Peak Penetration Pct: 0.12 · Treated Patients Peak: 137280 · Price Per Patient USD: 300000 · Annual Price Erosion Pct: 0.03 · Gross To Net Pct: 0.78 · Royalty Pct: 0.06 · Peak Net Revenue USD M: 30100</w:t>
      </w:r>
    </w:p>
    <w:p>
      <w:r>
        <w:rPr/>
        <w:t>MG Revenue Build - US Market ($K) — US Insured Population M: 180 · MG Prevalence Pct: 0.0005 · Adherence Adjusted Pct: 0.7 · Peak Penetration Pct: 0.1 · Treated Patients Peak: 63000 · Price Per Patient USD: 300000 · Annual Price Erosion Pct: 0.03 · Gross To Net Pct: 0.82 · Royalty Pct: 0.05 · Peak Net Revenue USD M: 14700</w:t>
      </w:r>
    </w:p>
    <w:p>
      <w:r>
        <w:rPr/>
        <w:t>MG Revenue Build - Europe Market ($K) — EU Insured Population M: 220 · MG Prevalence Pct: 0.0005 · Adherence Adjusted Pct: 0.65 · Peak Penetration Pct: 0.08 · Treated Patients Peak: 57200 · Price Per Patient USD: 260000 · Annual Price Erosion Pct: 0.03 · Gross To Net Pct: 0.78 · Royalty Pct: 0.05 · Peak Net Revenue USD M: 11000</w:t>
      </w:r>
    </w:p>
    <w:p>
      <w:r>
        <w:rPr/>
        <w:t>WACC Cross-Check — Risk Free Rate Pct: 0.0428 · Equity Risk Premium Pct: 0.0547 · Levered Beta: 1.05 · After Tax Cost Of Debt Pct: 0.04 · WACC Pct: 0.1 · Model Discount Rate Pct: 0.12 · Rationale: 12% selected as clinical-stage biotech risk premium over base WACC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VRDN Clinical Risk-Adjusted SOTP Unlevered DCF Model (TED + MG Programs)</dc:title>
  <dc:creator>NodeAgent</dc:creator>
</cp:coreProperties>
</file>