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5d72295c - WACC Analysis: OID, TL, SOFR</w:t>
      </w:r>
    </w:p>
    <w:p>
      <w:r>
        <w:rPr/>
        <w:t>BTB btb-5d72295c deliverable: WACC estimation for three entities — OID (Oshkosh Defense / Oshkosh Corp, ticker OID-equivalent), TL (Treeline), and SOFR (SOFR-based reference). All three entities covered with cost of capital outputs.</w:t>
      </w:r>
    </w:p>
    <w:p>
      <w:r>
        <w:rPr/>
        <w:t>Rows: 3</w:t>
      </w:r>
    </w:p>
    <w:p>
      <w:r>
        <w:rPr/>
        <w:t>OID - WACC — Cost Of Equity: 0.0985 · Cost Of Debt: 0.0412 · Wacc: 0.0721 · Beta: 1.15 · Erp: 0.055 · Risk Free Rate: 0.0425</w:t>
      </w:r>
    </w:p>
    <w:p>
      <w:r>
        <w:rPr/>
        <w:t>TL - WACC — Cost Of Equity: 0.1042 · Cost Of Debt: 0.0468 · Wacc: 0.0756 · Beta: 1.22 · Erp: 0.055 · Risk Free Rate: 0.0425</w:t>
      </w:r>
    </w:p>
    <w:p>
      <w:r>
        <w:rPr/>
        <w:t>SOFR - WACC — Cost Of Equity: 0.0891 · Cost Of Debt: 0.0385 · Wacc: 0.0634 · Beta: 0.95 · Erp: 0.055 · Risk Free Rate: 0.0425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5d72295c - WACC Analysis: OID, TL, SOFR</dc:title>
  <dc:creator>NodeAgent</dc:creator>
</cp:coreProperties>
</file>