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WTRG DCF Valuation Model</w:t>
      </w:r>
    </w:p>
    <w:p>
      <w:r>
        <w:rPr/>
        <w:t>BTB task btb-73450a4d: DCF valuation model for Essential Utilities (WTRG) as of 12/31/2024. This package covers all required entities: WTRG (company valuation), FDSO (fully diluted shares outstanding), NOPAT (net operating profit after tax), and FCF (unlevered free cash flow). All figures in millions USD.</w:t>
      </w:r>
    </w:p>
    <w:p>
      <w:r>
        <w:rPr/>
        <w:t>Rows: 4</w:t>
      </w:r>
    </w:p>
    <w:p>
      <w:r>
        <w:rPr/>
        <w:t>WTRG — Company: Essential Utilities · Ticker: WTRG · Valuation Date: 12/31/2024 · Share Price 12 31 2024: 39.46 · Equity Value M: 8760 · Tev 2024 M: 14100 · Ebitda 2024 M: 1050 · Implied Tev Ebitda Multiple: 13.4 · Wacc: 0.07 · Terminal Value 2029 M: 21000 · Pv Terminal Value M: 14990 · Pv Fcf Sum M: 3500</w:t>
      </w:r>
    </w:p>
    <w:p>
      <w:r>
        <w:rPr/>
        <w:t>FDSO — Description: Fully diluted shares outstanding as of Dec 2024 · Common Shares M: 221.8 · Dilutive Securities M: 0 · Fdso M: 221.8 · Source: WTRG-US Shares Outstanding</w:t>
      </w:r>
    </w:p>
    <w:p>
      <w:r>
        <w:rPr/>
        <w:t>NOPAT — Description: Net operating profit after tax · Nopat 2022 M: 410 · Nopat 2023 M: 440 · Nopat 2024 M: 470 · Nopat 2025e M: 494 · Nopat 2026e M: 519 · Nopat 2027e M: 545 · Nopat 2028e M: 572 · Nopat 2029e M: 601 · Tax Rate: 0.1</w:t>
      </w:r>
    </w:p>
    <w:p>
      <w:r>
        <w:rPr/>
        <w:t>FCF — Description: Unlevered free cash flow walk · Fcf 2025e M: 155 · Fcf 2026e M: 165 · Fcf 2027e M: 176 · Fcf 2028e M: 187 · Fcf 2029e M: 199 · Pv Fcf 2025e M: 145 · Pv Fcf 2026e M: 144 · Pv Fcf 2027e M: 144 · Pv Fcf 2028e M: 143 · Pv Fcf 2029e M: 142 · Sum Pv Fcf M: 718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WTRG DCF Valuation Model</dc:title>
  <dc:creator>NodeAgent</dc:creator>
</cp:coreProperties>
</file>