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RTX &amp; GD - Merger Model (Accretion/Dilution Analysis)</w:t>
      </w:r>
    </w:p>
    <w:p>
      <w:r>
        <w:rPr/>
        <w:t>## Merger Model: RTX (Acquirer) &amp; GD (Target)
### Overview
This package presents an accretion-dilution analysis for a hypothetical merger between RTX and GD, using FYE24 balance sheet and LTM Sep-25 income statement data sourced from uploaded VDR artifacts. Under the assumptions below, the deal is **accretive to RTX EPS by +$0.0641/share (+2.50%)** on a GAAP Basis.</w:t>
      </w:r>
    </w:p>
    <w:p>
      <w:r>
        <w:rPr/>
        <w:t>Rows: 6</w:t>
      </w:r>
    </w:p>
    <w:p>
      <w:r>
        <w:rPr/>
        <w:t>Transaction Structure — Acquirer: RTX · Target: GD · Acquirer Share Price (12/19/2025, Opening): $124.25 · Target Share Price (12/19/2025, Opening): $272.80 · Purchase Premium: 20.0% · Offer Price Per GD Share: $327.36 · RTX Shares Outstanding (Mm): 747 · GD Shares Outstanding (Mm): 274.1 · Total Equity Purchase Price ($Mm): $89,732.3 · Enterprise Value ($Mm): $99,732.3 · % Stock Consideration: 60.0% · % Cash Consideration: 40.0%</w:t>
      </w:r>
    </w:p>
    <w:p>
      <w:r>
        <w:rPr/>
        <w:t>Pro Forma Capitalization — New RTX Shares Issued (Mm): 433.6 · RTX Pro Forma Shares (Mm): 1180.6 · New Debt Raised ($Mm): 34098.3 · RTX Standalone Debt ($Mm): 41000 · GD Refinanced Debt ($Mm): 10000 · Pro Forma Total Debt ($Mm): 75098.3 · RTX Standalone Cash ($Mm): 5343 · Less: Cash Used For Transaction ($Mm): -35892.9 · Less: Transaction &amp; Financing Fees ($Mm): -789.6 · Pro Forma Cash ($Mm): -31339.5 · Pro Forma Net Debt ($Mm): 106437.8</w:t>
      </w:r>
    </w:p>
    <w:p>
      <w:r>
        <w:rPr/>
        <w:t>Purchase Price Allocation (Stock Sale) — Target Book Equity ($Mm): 20117 · Purchase Price ($Mm): 89732.3 · Goodwill ($Mm): 61735.3 · PP&amp;E Write-Up (20%): 3175.4 · Intangibles Write-Up (20%): 11704.3 · Deferred Tax Liability ($Mm): 4988 · Useful Life - PP&amp;E (Years): 20 · Useful Life - Intangibles (Years): 12 · Annual Amortization - PP&amp;E ($Mm): 158.8 · Annual Amortization - Intangibles ($Mm): 975.4 · Total Annual Amortization ($Mm): 1134.2</w:t>
      </w:r>
    </w:p>
    <w:p>
      <w:r>
        <w:rPr/>
        <w:t>Pro Forma Income Statement (LTM Sep-25, GAAP Basis) — RTX Revenue: 80294 · GD Revenue: 42734 · Combined Revenue: 123028 · RTX COGS: 57812 · GD COGS: 36324 · Combined COGS: 94136 · RTX SG&amp;A (Excl R&amp;D): 6423 · GD SG&amp;A (Excl R&amp;D): 3419 · Combined SG&amp;A: 9842 · Cost Synergies (10% Of Combined SG&amp;A): 984.2 · RTX R&amp;D: 3212 · GD R&amp;D: 713</w:t>
      </w:r>
    </w:p>
    <w:p>
      <w:r>
        <w:rPr/>
        <w:t>Sensitivity Table - Accretion/(Dilution) per Share — % Stock \\ % Premium: 15% · 5% Stock: $0.071 · 10% Stock: $0.068 · 15% Stock: $0.064 · 20% Stock: $0.061 · 25% Stock: $0.057 · 30% Stock: $0.054 · Center Case (60% Stock, 20% Premium): $0.064</w:t>
      </w:r>
    </w:p>
    <w:p>
      <w:r>
        <w:rPr/>
        <w:t>WACC Components — Risk-Free Rate (U.S 10Y Treasury): 4.25% · Equity Risk Premium: 5.50% · RTX Levered Beta: 0.83 · GD Levered Beta: 0.52 · RTX Cost Of Equity: 8.82% · GD Cost Of Equity: 7.11% · Pre-Tax Cost Of Debt: 6.50% · After-Tax Cost Of Debt: 5.14% · RTX WACC: 7.35% · GD WACC: 6.48%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RTX &amp; GD - Merger Model (Accretion/Dilution Analysis)</dc:title>
  <dc:creator>NodeAgent</dc:creator>
</cp:coreProperties>
</file>