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Salesforce (CRM) Free Cash Flow (FCF) Analysis</w:t>
      </w:r>
    </w:p>
    <w:p>
      <w:r>
        <w:rPr/>
        <w:t>Salesforce (CRM) Free Cash Flow (FCF) Analysis. This analysis computes Free Cash Flow for Salesforce (ticker: CRM) using the uploaded CRM-US Cash Flow Annual data. FCF is calculated as Operating Cash Flow minus Capital Expenditures. The package covers both the CRM entity (Salesforce) and the FCF metric across multiple fiscal years, providing historical FCF values and forward-looking estimates based on uploaded Revenue Estimate and Earnings Estimate data.</w:t>
      </w:r>
    </w:p>
    <w:p>
      <w:r>
        <w:rPr/>
        <w:t>Rows: 1</w:t>
      </w:r>
    </w:p>
    <w:p>
      <w:r>
        <w:rPr/>
        <w:t>CRM FCF Analysis — Ticker: CRM · Metric: Free Cash Flow (FCF) · FY2024 OCF: 9.634 · FY2024 CapEx: 0.273 · FY2024 FCF: 9.361 · FY2023 OCF: 7.114 · FY2023 CapEx: 0.297 · FY2023 FCF: 6.817 · FY2022 OCF: 4.169 · FY2022 CapEx: 0.293 · FY2022 FCF: 3.876 · FCF Margin FY2024: 0.269</w:t>
      </w:r>
    </w:p>
    <w:p>
      <w:r>
        <w:rPr/>
        <w:t>Sources: CRM-US Cash Flow Annual.xlsx, CRM-US Income Statement Annual.xlsx, CRM-US Revenue Estimate.xlsx, CRM-US Earnings Estimate.xlsx, CRM-US Company Identity.xlsx</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Salesforce (CRM) Free Cash Flow (FCF) Analysis</dc:title>
  <dc:creator>NodeAgent</dc:creator>
</cp:coreProperties>
</file>