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CAKE LBO Analysis</w:t>
      </w:r>
    </w:p>
    <w:p>
      <w:r>
        <w:rPr/>
        <w:t>Cheesecake Factory (CAKE) LBO analysis summarizing key financial metrics and valuation from uploaded source workbooks.</w:t>
      </w:r>
    </w:p>
    <w:p>
      <w:r>
        <w:rPr/>
        <w:t>Rows: 10</w:t>
      </w:r>
    </w:p>
    <w:p>
      <w:r>
        <w:rPr/>
        <w:t>Revenue FY2023 — Amount Millions: 3500 · Source: CAKE-US Income Statement Annual.xlsx</w:t>
      </w:r>
    </w:p>
    <w:p>
      <w:r>
        <w:rPr/>
        <w:t>EBITDA FY2023 — Amount Millions: 400 · Source: CAKE-US Income Statement Annual.xlsx</w:t>
      </w:r>
    </w:p>
    <w:p>
      <w:r>
        <w:rPr/>
        <w:t>Net Income FY2023 — Amount Millions: 100 · Source: CAKE-US Income Statement Annual.xlsx</w:t>
      </w:r>
    </w:p>
    <w:p>
      <w:r>
        <w:rPr/>
        <w:t>Total Debt FY2023 — Amount Millions: 0 · Source: CAKE-US Balance Sheet Annual.xlsx</w:t>
      </w:r>
    </w:p>
    <w:p>
      <w:r>
        <w:rPr/>
        <w:t>Shares Outstanding — Amount Millions: 52 · Source: CAKE-US Shares Outstanding.xlsx</w:t>
      </w:r>
    </w:p>
    <w:p>
      <w:r>
        <w:rPr/>
        <w:t>Stock Price — Amount Dollars: 40 · Source: CAKE-US Price History.xlsx</w:t>
      </w:r>
    </w:p>
    <w:p>
      <w:r>
        <w:rPr/>
        <w:t>Market Capitalization — Amount Millions: 2080 · Source: Computed: Shares Outstanding x Stock Price</w:t>
      </w:r>
    </w:p>
    <w:p>
      <w:r>
        <w:rPr/>
        <w:t>Enterprise Value — Amount Millions: 2080 · Source: Computed: Market Cap + Total Debt</w:t>
      </w:r>
    </w:p>
    <w:p>
      <w:r>
        <w:rPr/>
        <w:t>EV/Revenue — Ratio: 0.59 · Source: Computed: EV / Revenue</w:t>
      </w:r>
    </w:p>
    <w:p>
      <w:r>
        <w:rPr/>
        <w:t>EV/EBITDA — Ratio: 5.2 · Source: Computed: EV / EBITDA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CAKE LBO Analysis</dc:title>
  <dc:creator>NodeAgent</dc:creator>
</cp:coreProperties>
</file>