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SolarWinds (SWI) — Deep Dive Company Profile</w:t>
      </w:r>
    </w:p>
    <w:p>
      <w:r>
        <w:rPr/>
        <w:t>SolarWinds International (SWI) — Deep Dive Company Profile. Sources: SolarWinds Q4 FY2024 earnings release, SWI 2Q24 investor presentation, and SolarWinds team PPTX.
**Company Overview:** SolarWinds Corporation (NYSE: SWI) is a leading provider of IT management and observability software headquartered in Austin, Texas. Founded in 1999, SolarWinds serves IT operations, security, and DevOps professionals across government and commercial enterprises worldwide, helping organizations manage hybrid and multi-cloud IT environments.
**Business Model:** SolarWinds operates a subscription-based SaaS and perpetual license model, generating recurring revenue through maintenance and support contracts. Its product portfolio spans network, server, and application observability; database performance management; IT service management; and security. The company has been transitioning toward a greater subscription mix, improving revenue predictability and gross margins.
**Market Position:** SolarWinds competes in the IT operations management (ITOM) and observability market alongside players such as Dynatrace, Datadog, New Relic, and BMC. SolarWinds differentiates itself through a large installed base, broad product portfolio, and value-based pricing targeting mid-market and enterprise customers. The addressable market for ITOM/observability is estimated at $30B+ and growing.
**Financial Performance (FY2024):** Revenue grew to approximately $804.9M in FY2024, up from $795.6M in FY2023. Subscription revenue grew approximately 13% year-over-year, representing a growing share of total revenue. Adjusted EBITDA was approximately $251.3M, with an adjusted EBITDA margin of ~31%. The company maintained strong cash flow generation with operating cash flow of ~$200M+.
**Industry Trends:** Key trends include the shift to hybrid/multi-cloud infrastructure requiring unified observability; the rise of AIOps and ML-driven anomaly detection; increasing cybersecurity scrutiny following the 2020 SUNBURST incident; consolidation in ITOM/observability; and the transition from perpetual licensing to SaaS/subscription models across enterprise software.
**Growth Strategy:** SolarWinds' growth strategy centers on: (1) accelerating subscription adoption and SaaS transformation; (2) cross-selling the observability platform across its large installed base; (3) expanding international revenue; (4) investing in AIOps and observability innovation; and (5) pursuing strategic tuck-in M&amp;A to expand product capabilities.
**Leadership Team:**
- **Sudhakar Ramakrishna** — President &amp; CEO (joined January 2021, led post-SUNBURST recovery)
- **J. Barton Kalsu** — EVP &amp; CFO
- **Cato Schirmer** — Chief Product Officer
- **Rohini Kasturi** — EVP &amp; Chief Product Officer (Security)
- **Tim Brown** — VP, Security &amp; CISO
WACC inputs: Industry beta from betas_by_industry_category_for_WACC.xlsx and implied ERP from Equity_Risk_Premium_for_WACC.xlsx provide supporting risk-adjusted discount rate context.</w:t>
      </w:r>
    </w:p>
    <w:p>
      <w:r>
        <w:rPr/>
        <w:t>Rows: 7</w:t>
      </w:r>
    </w:p>
    <w:p>
      <w:r>
        <w:rPr/>
        <w:t>Company Overview — Ticker: SWI · Exchange: NYSE · HQ: Austin, Texas · Founded: 1999 · Industry: IT Management &amp; Observability Software · Section: Company Overview</w:t>
      </w:r>
    </w:p>
    <w:p>
      <w:r>
        <w:rPr/>
        <w:t>Business Model — Revenue Mix — Section: Business Model · Model Type: SaaS + Perpetual License · Recurring Revenue Pct: ~85% · Subscription Growth YoY: ~13% · Key Products: Network Performance Monitor, Server &amp; Application Monitor, Database Performance Analyzer, Service Desk, Security Event Manager</w:t>
      </w:r>
    </w:p>
    <w:p>
      <w:r>
        <w:rPr/>
        <w:t>Market Position — Section: Market Position · ITOM Addressable Market USD B: ~30 · Key Competitors: Dynatrace, Datadog, New Relic, BMC, Splunk · Differentiation: Large installed base; broad portfolio; value pricing for mid-market</w:t>
      </w:r>
    </w:p>
    <w:p>
      <w:r>
        <w:rPr/>
        <w:t>Financial Performance — FY2024 — Section: Financial Performance · Total Revenue FY2024 USD M: 804.9 · Total Revenue FY2023 USD M: 795.6 · Revenue Growth YoY Pct: 1.2 · Adjusted EBITDA FY2024 USD M: 251.3 · Adjusted EBITDA Margin Pct: 31.2 · Operating Cash Flow FY2024 USD M: 201</w:t>
      </w:r>
    </w:p>
    <w:p>
      <w:r>
        <w:rPr/>
        <w:t>Industry Trends — Section: Industry Trends · Trend 1: Hybrid/multi-cloud driving unified observability demand · Trend 2: AIOps and ML-driven anomaly detection emerging · Trend 3: Post-SUNBURST heightened security scrutiny · Trend 4: ITOM consolidation; perpetual-to-SaaS transition · Trend 5: Enterprise software shift to subscription pricing</w:t>
      </w:r>
    </w:p>
    <w:p>
      <w:r>
        <w:rPr/>
        <w:t>Growth Strategy — Section: Growth Strategy · Pillar 1: Accelerate SaaS subscription adoption · Pillar 2: Cross-sell observability platform across installed base · Pillar 3: Expand international revenue footprint · Pillar 4: Invest in AIOps and observability R&amp;D innovation · Pillar 5: Pursue strategic tuck-in M&amp;A</w:t>
      </w:r>
    </w:p>
    <w:p>
      <w:r>
        <w:rPr/>
        <w:t>Leadership Team — Section: Leadership Team · CEO: Sudhakar Ramakrishna · CFO: J. Barton Kalsu · CPO: Cato Schirmer · Chief Product Security: Rohini Kasturi · CISO: Tim Brown</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SolarWinds (SWI) — Deep Dive Company Profile</dc:title>
  <dc:creator>NodeAgent</dc:creator>
</cp:coreProperties>
</file>