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Adobe LBO Analysis</w:t>
      </w:r>
    </w:p>
    <w:p>
      <w:r>
        <w:rPr/>
        <w:t>LBO analysis for Adobe acquisition.</w:t>
      </w:r>
    </w:p>
    <w:p>
      <w:r>
        <w:rPr/>
        <w:t>Rows: 1</w:t>
      </w:r>
    </w:p>
    <w:p>
      <w:r>
        <w:rPr/>
        <w:t>test — Value: 1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Adobe LBO Analysis</dc:title>
  <dc:creator>NodeAgent</dc:creator>
</cp:coreProperties>
</file>