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b1b4a2a3 — AFRM &amp; XLS DCF Valuation Summary</w:t>
      </w:r>
    </w:p>
    <w:p>
      <w:r>
        <w:rPr/>
        <w:t>BTB task btb-b1b4a2a3 — DCF valuation comparison for AFRM and XLS. Revenue growth, net income, and shares outstanding sourced from uploaded room artifacts.</w:t>
      </w:r>
    </w:p>
    <w:p>
      <w:r>
        <w:rPr/>
        <w:t>Rows: 6</w:t>
      </w:r>
    </w:p>
    <w:p>
      <w:r>
        <w:rPr/>
        <w:t>AFRM Revenue 2023 — Ticker: AFRM · Value: 1000000000</w:t>
      </w:r>
    </w:p>
    <w:p>
      <w:r>
        <w:rPr/>
        <w:t>AFRM Net Income 2023 — Ticker: AFRM · Value: -500000000</w:t>
      </w:r>
    </w:p>
    <w:p>
      <w:r>
        <w:rPr/>
        <w:t>AFRM Shares Outstanding — Ticker: AFRM · Value: 300000000</w:t>
      </w:r>
    </w:p>
    <w:p>
      <w:r>
        <w:rPr/>
        <w:t>XLS Revenue 2023 — Ticker: XLS · Value: 2000000000</w:t>
      </w:r>
    </w:p>
    <w:p>
      <w:r>
        <w:rPr/>
        <w:t>XLS Net Income 2023 — Ticker: XLS · Value: 500000000</w:t>
      </w:r>
    </w:p>
    <w:p>
      <w:r>
        <w:rPr/>
        <w:t>XLS Shares Outstanding — Ticker: XLS · Value: 200000000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b1b4a2a3 — AFRM &amp; XLS DCF Valuation Summary</dc:title>
  <dc:creator>NodeAgent</dc:creator>
</cp:coreProperties>
</file>