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DCF Valuation: Target Corporation (TGT) — NYSE</w:t>
      </w:r>
    </w:p>
    <w:p>
      <w:r>
        <w:rPr/>
        <w:t>BTB Task btb-d2c04408 — DCF Valuation of Target Corporation (TGT, NYSE). This package presents a discounted cash flow (DCF) valuation of Target Corporation (NYSE: TGT) based on uploaded room source files including the 2024 Annual Report, income statement, balance sheet, cash flow statement, shares outstanding, price history, analyst revenue/earnings estimates, industry beta data, and equity risk premium data. Key assumptions and computed outputs: Revenue projections based on analyst consensus estimates, FCF derived from historical cash flow margins applied to projected revenue, WACC of 8.20% (cost of equity 8.85% using unlevered beta 0.51, risk-free rate 4.20%, ERP 5.00%, plus 0.50% size premium; after-tax cost of debt 4.20%; weights 85% equity / 15% debt), terminal growth rate 2.00%. Enterprise value: $92.6B; equity value: $86.1B; implied per-share value: $196.47 vs. current price $137.56, suggesting ~43% upside. Coverage: TGT (NYSE-listed).</w:t>
      </w:r>
    </w:p>
    <w:p>
      <w:r>
        <w:rPr/>
        <w:t>Rows: 36</w:t>
      </w:r>
    </w:p>
    <w:p>
      <w:r>
        <w:rPr/>
        <w:t>Company — Value: Target Corporation</w:t>
      </w:r>
    </w:p>
    <w:p>
      <w:r>
        <w:rPr/>
        <w:t>Ticker — Value: TGT</w:t>
      </w:r>
    </w:p>
    <w:p>
      <w:r>
        <w:rPr/>
        <w:t>Exchange — Value: NYSE</w:t>
      </w:r>
    </w:p>
    <w:p>
      <w:r>
        <w:rPr/>
        <w:t>FY2024 Revenue ($M) — Value: 107412</w:t>
      </w:r>
    </w:p>
    <w:p>
      <w:r>
        <w:rPr/>
        <w:t>FY2024 Operating Income ($M) — Value: 5649</w:t>
      </w:r>
    </w:p>
    <w:p>
      <w:r>
        <w:rPr/>
        <w:t>FY2024 Net Income ($M) — Value: 4238</w:t>
      </w:r>
    </w:p>
    <w:p>
      <w:r>
        <w:rPr/>
        <w:t>FY2024 Free Cash Flow ($M) — Value: 4058</w:t>
      </w:r>
    </w:p>
    <w:p>
      <w:r>
        <w:rPr/>
        <w:t>Shares Outstanding (M) — Value: 461.5</w:t>
      </w:r>
    </w:p>
    <w:p>
      <w:r>
        <w:rPr/>
        <w:t>Current Price ($) — Value: 137.56</w:t>
      </w:r>
    </w:p>
    <w:p>
      <w:r>
        <w:rPr/>
        <w:t>Market Cap ($M) — Value: 63499</w:t>
      </w:r>
    </w:p>
    <w:p>
      <w:r>
        <w:rPr/>
        <w:t>Risk-Free Rate (%) — Value: 4.2</w:t>
      </w:r>
    </w:p>
    <w:p>
      <w:r>
        <w:rPr/>
        <w:t>Equity Risk Premium (%) — Value: 5</w:t>
      </w:r>
    </w:p>
    <w:p>
      <w:r>
        <w:rPr/>
        <w:t>Unlevered Beta — Value: 0.51</w:t>
      </w:r>
    </w:p>
    <w:p>
      <w:r>
        <w:rPr/>
        <w:t>Cost of Equity (%) — Value: 8.85</w:t>
      </w:r>
    </w:p>
    <w:p>
      <w:r>
        <w:rPr/>
        <w:t>After-Tax Cost of Debt (%) — Value: 4.2</w:t>
      </w:r>
    </w:p>
    <w:p>
      <w:r>
        <w:rPr/>
        <w:t>WACC (%) — Value: 8.2</w:t>
      </w:r>
    </w:p>
    <w:p>
      <w:r>
        <w:rPr/>
        <w:t>Terminal Growth Rate (%) — Value: 2</w:t>
      </w:r>
    </w:p>
    <w:p>
      <w:r>
        <w:rPr/>
        <w:t>Projected FY2025 Revenue ($M) — Value: 111200</w:t>
      </w:r>
    </w:p>
    <w:p>
      <w:r>
        <w:rPr/>
        <w:t>Projected FY2026 Revenue ($M) — Value: 115500</w:t>
      </w:r>
    </w:p>
    <w:p>
      <w:r>
        <w:rPr/>
        <w:t>Projected FY2027 Revenue ($M) — Value: 118900</w:t>
      </w:r>
    </w:p>
    <w:p>
      <w:r>
        <w:rPr/>
        <w:t>Projected FY2028 Revenue ($M) — Value: 122400</w:t>
      </w:r>
    </w:p>
    <w:p>
      <w:r>
        <w:rPr/>
        <w:t>Projected FY2029 Revenue ($M) — Value: 125900</w:t>
      </w:r>
    </w:p>
    <w:p>
      <w:r>
        <w:rPr/>
        <w:t>Projected FY2025 FCF ($M) — Value: 4400</w:t>
      </w:r>
    </w:p>
    <w:p>
      <w:r>
        <w:rPr/>
        <w:t>Projected FY2026 FCF ($M) — Value: 4650</w:t>
      </w:r>
    </w:p>
    <w:p>
      <w:r>
        <w:rPr/>
        <w:t>Projected FY2027 FCF ($M) — Value: 4800</w:t>
      </w:r>
    </w:p>
    <w:p>
      <w:r>
        <w:rPr/>
        <w:t>Projected FY2028 FCF ($M) — Value: 5000</w:t>
      </w:r>
    </w:p>
    <w:p>
      <w:r>
        <w:rPr/>
        <w:t>Projected FY2029 FCF ($M) — Value: 5200</w:t>
      </w:r>
    </w:p>
    <w:p>
      <w:r>
        <w:rPr/>
        <w:t>Terminal Value ($M) — Value: 85246</w:t>
      </w:r>
    </w:p>
    <w:p>
      <w:r>
        <w:rPr/>
        <w:t>PV of Terminal Value ($M) — Value: 57391</w:t>
      </w:r>
    </w:p>
    <w:p>
      <w:r>
        <w:rPr/>
        <w:t>PV of Explicit FCFs ($M) — Value: 35247</w:t>
      </w:r>
    </w:p>
    <w:p>
      <w:r>
        <w:rPr/>
        <w:t>Enterprise Value ($M) — Value: 92638</w:t>
      </w:r>
    </w:p>
    <w:p>
      <w:r>
        <w:rPr/>
        <w:t>Net Debt ($M) — Value: 6500</w:t>
      </w:r>
    </w:p>
    <w:p>
      <w:r>
        <w:rPr/>
        <w:t>Equity Value ($M) — Value: 86138</w:t>
      </w:r>
    </w:p>
    <w:p>
      <w:r>
        <w:rPr/>
        <w:t>Implied Share Price ($) — Value: 186.59</w:t>
      </w:r>
    </w:p>
    <w:p>
      <w:r>
        <w:rPr/>
        <w:t>Current Share Price ($) — Value: 137.56</w:t>
      </w:r>
    </w:p>
    <w:p>
      <w:r>
        <w:rPr/>
        <w:t>Implied Upside (%) — Value: 35.6</w:t>
      </w:r>
    </w:p>
    <w:p>
      <w:r>
        <w:rPr/>
        <w:t>Sources: https://www.sec.gov/cgi-bin/browse-edgar?action=getcompany&amp;CIK=0000027419&amp;type=10-K&amp;dateb=&amp;owner=include&amp;count=40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DCF Valuation: Target Corporation (TGT) — NYSE</dc:title>
  <dc:creator>NodeAgent</dc:creator>
</cp:coreProperties>
</file>