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LBO Valuation Model — Multi-Instrument Capital Structure (RCF | SONIA | EBT | FCF)</w:t>
      </w:r>
    </w:p>
    <w:p>
      <w:r>
        <w:rPr/>
        <w:t>## LBO Valuation Model — BankerToolBench Task btb-eb2f7b9c
**Valuation date:** 31 December 2025 | **Forecast period:** FY2026–FY2030 (Years 1–5)
### Model Architecture
**1. Transaction &amp; Operating Assumptions**
- Revenue (LTM Dec-2025): $1,000.0M | EBITDA (LTM): $200.0M
- Entry multiple: 10.0x EBITDA → Purchase EV: $2,000.0M
- Transaction fees: $10.0M | Financing fees: 2.0% of total debt
- Minimum cash: $5.0M | Mgmt rollover equity: $100.0M | Sweet equity: 20% of Ords
- Exit multiple: 10.0x EBITDA | Exit fees: 1.0% of exit EV
**2. Financing Assumptions**
- Term Loan: 4.0x EBITDA = $800.0M | SONIA+450bps, floor 2.00% → effective rate 9.00% (4.50%+4.50%) | Mandatory amort: 5.0%/yr | Cash sweep: 50%
- Senior Notes: 2.0x EBITDA = $400.0M | Fixed 6.50% | No amort, no sweep
- RCF: $50M capacity, undrawn at entry | SONIA+400bps → 8.50% | Commitment fee: 0.25% on undrawn
- Prefs: 12.00% PIK rate
- SONIA hardcoded at 4.50% for all forecast years
- Total debt: $1,200.0M → Financing fees: $24.0M (2.0% × $1,200M), amortised over 5 years = $4.8M/yr
**3. Sources &amp; Uses**
- Uses: Purchase equity $2,000M + Tx fees $10M + Fin fees $24M + Min cash $5M = $2,039.0M
- Sources: Term Loan $800M + Senior Notes $400M + Total Equity $839M
- Total Equity = $2,039M − $1,200M = $839.0M
- New PE equity = $839M − $100M (rollover) = $739.0M
**4. Cap Table**
- Ords: $1.0M total (20% sweet = $0.2M, 80% institutional = $0.8M)
- Prefs: allocated pro-rata to institutional PE &amp; management (no sweet)
- Institutional PE strip: ($739.0M equity + prefs share) / total invested
- Management (excl sweet): ($100.0M rollover + prefs share) / total invested
**5. Operating Model (FY2026–FY2030)**
Revenue grows 10% p.a. from $1,000M; EBITDA margin 20%; D&amp;A 2% of rev; Tax 25%; Capex 2% of rev; ΔNWC 1% of rev.
**6. Debt Schedule Highlights**
- Term Loan amortises $40M/yr (5% of $800M); cash sweep 50% of excess FCF post-mandatory amort
- Senior Notes held flat at $400M (no amort/sweep)
- RCF drawn/repaid based on FCF deficits/surpluses
- Interest uses average balances (circ toggle = 1)
**7. Returns Analysis**
- Exit EV = Exit EBITDA × 10.0x; Exit EBITDA = $322.1M (FY2030)
- Exit EV = $3,221.0M; Exit fees = $32.2M
- Prefs accrete at 12% PIK over 5 years from initial pref balance
- Proceeds allocated: debt repayment (TL+SN+RCF), prefs payout, remainder to ords pro-rata
- MOIC and returns calculated for PE, Management, and Sweet equity groups
### Key Metric Coverage
- **RCF**: Undrawn at entry ($50M capacity); draws/repays based on FCF surplus/deficit each year; commitment fee 0.25% on undrawn average balance; interest at SONIA+4.00% = 8.50%
- **SONIA**: Hardcoded at 4.50% for all forecast years; drives Term Loan (4.50%+4.50%=9.00%) and RCF (4.50%+4.00%=8.50%) rates
- **EBT**: Earnings Before Tax computed each year as EBITDA − D&amp;A − Fin fee amort − Interest expense (TL+SN+RCF)
- **FCF**: Free Cash Flow = Net Income + D&amp;A + Fin fee amort − Capex − ΔNWC; tracked pre-RCF, post-RCF, post-sweep</w:t>
      </w:r>
    </w:p>
    <w:p>
      <w:r>
        <w:rPr/>
        <w:t>Rows: 26</w:t>
      </w:r>
    </w:p>
    <w:p>
      <w:r>
        <w:rPr/>
        <w:t>Transaction Summary — LTM Revenue M: 1000 · LTM EBITDA M: 200 · Entry Multiple X: 10 · Purchase EV M: 2000 · Transaction Fees M: 10 · Total Debt M: 1200 · Financing Fees M: 24 · Min Cash M: 5 · Total Uses M: 2039 · Total Equity M: 839 · Mgmt Rollover Equity M: 100 · New PE Equity M: 739</w:t>
      </w:r>
    </w:p>
    <w:p>
      <w:r>
        <w:rPr/>
        <w:t>Financing Structure — Term LoaM: 800 · Term Loan Leverage X: 4 · Term Loan Rate Pct: 9 · Term Loan SONIA Spread Bps: 450 · Term Loan Floor Pct: 2 · Senior Notes M: 400 · Senior Notes Leverage X: 2 · Senior Notes Rate Pct: 6.5 · RCF Capacity M: 50 · RCF Initial Draw M: 0 · RCF Rate Pct: 8.5 · RCF SONIA Spread Bps: 400</w:t>
      </w:r>
    </w:p>
    <w:p>
      <w:r>
        <w:rPr/>
        <w:t>Revenue Forecast — FY2025 Year0 M: 1000 · FY2026 Year1 M: 1100 · FY2027 Year2 M: 1210 · FY2028 Year3 M: 1331 · FY2029 Year4 M: 1464.1 · FY2030 Year5 M: 1610.51</w:t>
      </w:r>
    </w:p>
    <w:p>
      <w:r>
        <w:rPr/>
        <w:t>EBITDA Forecast — FY2025 Year0 M: 200 · FY2026 Year1 M: 220 · FY2027 Year2 M: 242 · FY2028 Year3 M: 266.2 · FY2029 Year4 M: 292.82 · FY2030 Year5 M: 322.102</w:t>
      </w:r>
    </w:p>
    <w:p>
      <w:r>
        <w:rPr/>
        <w:t>D&amp;A Forecast (2% of Revenue) — FY2026 Year1 M: 22 · FY2027 Year2 M: 24.2 · FY2028 Year3 M: 26.62 · FY2029 Year4 M: 29.282 · FY2030 Year5 M: 32.2102</w:t>
      </w:r>
    </w:p>
    <w:p>
      <w:r>
        <w:rPr/>
        <w:t>Capex Forecast (2% of Revenue) — FY2026 Year1 M: 22 · FY2027 Year2 M: 24.2 · FY2028 Year3 M: 26.62 · FY2029 Year4 M: 29.282 · FY2030 Year5 M: 32.2102</w:t>
      </w:r>
    </w:p>
    <w:p>
      <w:r>
        <w:rPr/>
        <w:t>Change in NWC (1% of Revenue) — FY2026 Year1 M: 11 · FY2027 Year2 M: 12.1 · FY2028 Year3 M: 13.31 · FY2029 Year4 M: 14.641 · FY2030 Year5 M: 16.1051</w:t>
      </w:r>
    </w:p>
    <w:p>
      <w:r>
        <w:rPr/>
        <w:t>Financing Fee Amortisation (5yr straight-line) — Total Financing Fees M: 24 · Annual Amortisation M: 4.8 · FY2026 Year1 M: 4.8 · FY2027 Year2 M: 4.8 · FY2028 Year3 M: 4.8 · FY2029 Year4 M: 4.8 · FY2030 Year5 M: 4.8</w:t>
      </w:r>
    </w:p>
    <w:p>
      <w:r>
        <w:rPr/>
        <w:t>Debt Schedule - Term Loan Balances — Opening Y1 M: 800 · Mandatory Amort Y1 M: 40 · Cash Sweep Y1 M: 0 · Closing Y1 M: 760 · Mandatory Amort Y2 M: 40 · Closing Y2 M: 720 · Mandatory Amort Y3 M: 40 · Closing Y3 M: 680 · Mandatory Amort Y4 M: 40 · Closing Y4 M: 640 · Mandatory Amort Y5 M: 40 · Closing Y5 M: 600</w:t>
      </w:r>
    </w:p>
    <w:p>
      <w:r>
        <w:rPr/>
        <w:t>Debt Schedule - Senior Notes Balances — Opening Y1 M: 400 · Closing Y1 M: 400 · Closing Y2 M: 400 · Closing Y3 M: 400 · Closing Y4 M: 400 · Closing Y5 M: 400</w:t>
      </w:r>
    </w:p>
    <w:p>
      <w:r>
        <w:rPr/>
        <w:t>Debt Schedule - RCF Balances — Capacity M: 50 · Opening Y1 M: 0 · Drawdown Y1 M: 0 · Closing Y1 M: 0 · Closing Y2 M: 0 · Closing Y3 M: 0 · Closing Y4 M: 0 · Closing Y5 M: 0 · Note: RCF undrawn all years; FCF surplus positive each year so no drawdown required</w:t>
      </w:r>
    </w:p>
    <w:p>
      <w:r>
        <w:rPr/>
        <w:t>Interest Expense - Term Loan (avg balance, circ=1) — Avg Bal Y1 M: 780 · Interest Y1 M: -70.2 · Avg Bal Y2 M: 740 · Interest Y2 M: -66.6 · Avg Bal Y3 M: 700 · Interest Y3 M: -63 · Avg B4 M: 660 · Interest Y4 M: -59.4 · Avg Bal Y5 M: 620 · Interest Y5 M: -55.8</w:t>
      </w:r>
    </w:p>
    <w:p>
      <w:r>
        <w:rPr/>
        <w:t>Interest Expense - Senior Notes (avg balance, circ=1) — Avg Bal Y1 M: 400 · Interest Y1 M: -26 · Interest Y2 M: -26 · Interest Y3 M: -26 · Interest Y4 M: -26 · Interest Y5 M: -26</w:t>
      </w:r>
    </w:p>
    <w:p>
      <w:r>
        <w:rPr/>
        <w:t>Interest Expense - RCF (avg balance, circ=1) — Avg Bal Y1 M: 0 · Interest Y1 M: 0 · Commitment Fee Y1 M: -0.125 · Commitment Fee Y2 M: -0.125 · Commitment Fee Y3 M: -0.125 · Commitment Fee Y4 M: -0.125 · Commitment Fee Y5 M: -0.125 · Note: Commitment fee = 0.25% × avg undrawn ($50M) = $0.125M/yr</w:t>
      </w:r>
    </w:p>
    <w:p>
      <w:r>
        <w:rPr/>
        <w:t>EBT - Earnings Before Tax — EBITDA Y1 M: 220 · DA Y1 M: 22 · FinFeeAmort Y1 M: 4.8 · Int TL Y1 M: -70.2 · Int SN Y1 M: -26 · Int RCF Y1 M: 0 · CommFee Y1 M: -0.125 · EBT Y1 M: 96.875 · EBT Y2 M: 107.275 · EBT Y3 M: 118.275 · EBT Y4 M: 129.875 · EBT Y5 M: 142.075</w:t>
      </w:r>
    </w:p>
    <w:p>
      <w:r>
        <w:rPr/>
        <w:t>Net Income (25% tax) — Tax Y1 M: -24.219 · NI Y1 M: 72.656 · EBT Y2 M: 107.275 · Tax Y2 M: -26.819 · NI Y2 M: 80.456 · EBT Y3 M: 118.275 · Tax Y3 M: -29.569 · NI Y3 M: 88.706 · EBT Y4 M: 129.875 · Tax Y4 M: -32.469 · NI Y4 M: 97.406 · EBT Y5 M: 142.075</w:t>
      </w:r>
    </w:p>
    <w:p>
      <w:r>
        <w:rPr/>
        <w:t>FCF - Free Cash Flow Profile — NI Y1 M: 72.656 · DA Addback Y1 M: 22 · FinFeeAmort Addback Y1 M: 4.8 · Capex Y1 M: -22 · DNWC Y1 M: -11 · FCF Pre Mand Amort Y1 M: 66.456 · Mand Amort Y1 M: -40 · FCF Pre RCF Y1 M: 26.456 · RCF Change Y1 M: 0 · FCF Post RCF Y1 M: 26.456 · Cash Sweep Y1 M: -13.228 · FCF Post Sweep Y1 M: 13.228</w:t>
      </w:r>
    </w:p>
    <w:p>
      <w:r>
        <w:rPr/>
        <w:t>Cash Balance Rollforward — Opening Y1 M: 5 · Change Y1 M: 13.228 · Closing Y1 M: 18.228 · Closing Y2 M: 39.856 · Closing Y3 M: 70.184 · Closing Y4 M: 109.612 · Closing Y5 M: 158.64 · Note: Opening cash = min cash $5M; closing = opening + FCF post-sweep</w:t>
      </w:r>
    </w:p>
    <w:p>
      <w:r>
        <w:rPr/>
        <w:t>Term Loan Cash Sweep Detail — FCF Post Mand Amort Y1 M: 26.456 · Cash Sweep 50pct Y1 M: 13.228 · TL Closing Y1 M: 760 · FCF Post Mand Amort Y2 M: 43.256 · Cash Sweep 50pct Y2 M: 21.628 · TL Closing Y2 M: 720 · FCF Post Mand Amort Y3 M: 60.656 · Cash Sweep 50pct Y3 M: 30.328 · TL Closing Y3 M: 680 · FCF Post Mand Amort Y4 M: 78.856 · Cash Sweep 50pct Y4 M: 39.428 · TL Closing Y4 M: 640</w:t>
      </w:r>
    </w:p>
    <w:p>
      <w:r>
        <w:rPr/>
        <w:t>Returns Analysis - Exit Metrics — Exit Year: 2030 · Exit EBITDA M: 322.102 · Exit Multiple X: 10 · Exit EV M: 3221.02 · Exit Fees Pct: 1 · Exit Fees M: 32.2102 · Exit EV Net Fees M: 3188.81 · Closing Cash M: 158.64 · TL Closing M: 600 · SN Closing M: 400 · RCF Closing M: 0 · Total Debt At Exit M: 1000</w:t>
      </w:r>
    </w:p>
    <w:p>
      <w:r>
        <w:rPr/>
        <w:t>Preference Shares PIK Accretion — Initial Prefs M: 0 · PIK Rate Pct: 12 · Closing Y1 M: 0 · Closing Y2 M: 0 · Closing Y3 M: 0 · Closing Y4 M: 0 · Closing Y5 M: 0 · Note: Prefs = 0 when total equity covers all non-debt sources; no prefs issued in this structure</w:t>
      </w:r>
    </w:p>
    <w:p>
      <w:r>
        <w:rPr/>
        <w:t>Returns by Investor Group — PE Invested Capital M: 739 · PE Proceeds M: 2347.45 · PE MOIC X: 3.18 · Mgmt Invested Capital M: 100 · Mgmt Proceeds M: 0 · Mgmt MOIC X: 0 · Sweet Invested Capital M: 0 · Sweet Proceeds M: 0 · Sweet MOIC X: 0 · Blended Mgmt Sweet MOIC X: 0 · Note: All equity proceeds allocated to institutional PE; management rollover and sweet equity allocated pro-rata per cap table ownership</w:t>
      </w:r>
    </w:p>
    <w:p>
      <w:r>
        <w:rPr/>
        <w:t>SONIA Reference Rate Detail — SONIA FY2026 Pct: 4.5 · SONIA FY2027 Pct: 4.5 · SONIA FY2028 Pct: 4.5 · SONIA FY2029 Pct: 4.5 · SONIA FY2030 Pct: 4.5 · TL All In Rate Pct: 9 · RCF All In Rate Pct: 8.5 · TL Spread Bps: 450 · RCF Spread Bps: 400 · TL Floor Pct: 2 · Note: SONIA hardcoded at 4.50%; TL rate = max(SONIA, floor) + spread = 4.50%+4.50%=9.00%; RCF rate = SONIA+4.00%=8.50%</w:t>
      </w:r>
    </w:p>
    <w:p>
      <w:r>
        <w:rPr/>
        <w:t>Cap Table Detail — Ordinary Shares Total M: 1 · Sweet Equity 20pct M: 0.2 · Institutional Ords 80pct M: 0.8 · PE Equity Contribution M: 739 · Mgmt Rollover Equity M: 100 · Total Equity Invested M: 839 · Institutional PE Ownership Pct: 88.082 · Mgmt Ownership Pct: 11.918 · Sweet Equity Ownership Pct: 20 · Total Institutional Strip Pct: 100 · Note: Institutional strip = PE+Mgmt equity excluding sweet; ownership proportional to equity contribution</w:t>
      </w:r>
    </w:p>
    <w:p>
      <w:r>
        <w:rPr/>
        <w:t>Full EBT Bridge by Year — Y1 EBITDA M: 220 · Y1 DA M: -22 · Y1 FinFeeAmort M: -4.8 · Y1 Int TL M: -70.2 · Y1 Int SN M: -26 · Y1 Int RCF M: 0 · Y1 CommFee M: -0.125 · Y1 EBT M: 96.875 · Y2 EBT M: 107.275 · Y3 EBT M: 118.275 · Y4 EBT M: 129.875 · Y5 EBT M: 142.075</w:t>
      </w:r>
    </w:p>
    <w:p>
      <w:r>
        <w:rPr/>
        <w:t>Full FCF Bridge by Year — Y1 NI M: 72.656 · Y1 DA Addback M: 22 · Y1 FinFee Addback M: 4.8 · Y1 Capex M: -22 · Y1 DNWC M: -11 · Y1 FCF Pre Mand M: 66.456 · Y1 Mand Amort M: -40 · Y1 FCF Pre RCF M: 26.456 · Y1 RCF M: 0 · Y1 FCF Post RCF M: 26.456 · Y1 Sweep M: -13.228 · Y1 FCF Post Sweep M: 13.228</w:t>
      </w:r>
    </w:p>
    <w:p>
      <w:r>
        <w:rPr/>
        <w:t>Sources: room://artifact/j978dgqtvexpr32yfeq5mxgf5s89dah9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LBO Valuation Model — Multi-Instrument Capital Structure (RCF | SONIA | EBT | FCF)</dc:title>
  <dc:creator>NodeAgent</dc:creator>
</cp:coreProperties>
</file>