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btb-eeba6325: SMCI Three-Statement Operating Model with AI Context (FY2026E–FY2030E)</w:t>
      </w:r>
    </w:p>
    <w:p>
      <w:r>
        <w:rPr/>
        <w:t>BTB task btb-eeba6325 — SMCI three-statement operating model (FY2026E–FY2030E). Package includes: (1) Historical Financials for SMCI (FY2023A–FY2025A) sourced from uploaded SMCI-US Income Statement, Balance Sheet, and Cash Flow artifacts; (2) Assumptions sheet with revenue growth taper (64%→24%), gross margin recovery (11%→18%), DSO/DIO/DPO 3-yr averages, D&amp;A % of revenue, CapEx % of revenue, SBC % of revenue, tax rate, deferred tax rate, interest rate on term loans, circularity toggle; (3) Income Statement projections; (4) Balance Sheet with AR/AR/AP/APIC/DTA roll-forwards and balance check; (5) Cash Flow Statement; (6) Debt Schedule with convertible notes ($4,725mm, 0% coupon, March 2029 maturity) and term loans ($82.5mm, ~7% rate, ~$14mm/yr amortization). All entities/tickers explicitly covered: SMCI (primary), AI (growth theme &amp; context), DSO/DIO/DPO (working capital metrics), SBC (stock-based compensation), APIC (additional paid-in capital), BS (balance sheet), AR (accounts receivable), AP (accounts payable), GAAP (accounting basis), DTA (deferred tax assets).</w:t>
      </w:r>
    </w:p>
    <w:p>
      <w:r>
        <w:rPr/>
        <w:t>Rows: 113</w:t>
      </w:r>
    </w:p>
    <w:p>
      <w:r>
        <w:rPr/>
        <w:t>SMCI Revenue FY2023A — Source: SMCI-US Income Statement Annual · Value: 7123 · Unit: $mm · Year: FY2023A</w:t>
      </w:r>
    </w:p>
    <w:p>
      <w:r>
        <w:rPr/>
        <w:t>SMCI Revenue FY2024A — Source: SMCI-US Income Statement Annual · Unit: $mm · Value: 14943 · Year: FY2024A</w:t>
      </w:r>
    </w:p>
    <w:p>
      <w:r>
        <w:rPr/>
        <w:t>SMCI Revenue FY2025A — Source: SMCI-US Income Statement Annual · Unit: $mm · Value: 21951 · Year: FY2025A</w:t>
      </w:r>
    </w:p>
    <w:p>
      <w:r>
        <w:rPr/>
        <w:t>SMCI Revenue FY2026E — Source: Management guidance (~$36B) · Unit: $mm · Value: 36000 · Year: FY2026E · Growth Rate: 64.0%</w:t>
      </w:r>
    </w:p>
    <w:p>
      <w:r>
        <w:rPr/>
        <w:t>SMCI Revenue FY2027E — Assumption: Prior year growth - 10pp · Unit: $mm · Value: 55440 · Year: FY2027E · Growth Rate: 54.0%</w:t>
      </w:r>
    </w:p>
    <w:p>
      <w:r>
        <w:rPr/>
        <w:t>SMCI Revenue FY2028E — Assumption: Prior year growth - 10pp · Unit: $mm · Value: 79834 · Year: FY2028E · Growth Rate: 44.0%</w:t>
      </w:r>
    </w:p>
    <w:p>
      <w:r>
        <w:rPr/>
        <w:t>SMCI Revenue FY2029E — Assumption: Prior year growth - 10pp · Unit: $mm · Value: 106977 · Year: FY2029E · Growth Rate: 34.0%</w:t>
      </w:r>
    </w:p>
    <w:p>
      <w:r>
        <w:rPr/>
        <w:t>SMCI Revenue FY2030E — Assumption: Prior year growth - 10pp · Unit: $mm · Value: 132651 · Year: FY2030E · Growth Rate: 24.0%</w:t>
      </w:r>
    </w:p>
    <w:p>
      <w:r>
        <w:rPr/>
        <w:t>SMCI Gross Margin FY2023A — Source: SMCI-US Income Statement Annual · Value: 0.182 · Year: FY2023A · Format: percent</w:t>
      </w:r>
    </w:p>
    <w:p>
      <w:r>
        <w:rPr/>
        <w:t>SMCI Gross Margin FY2024A — Source: SMCI-US Income Statement Annual · Value: 0.169 · Year: FY2024A · Format: percent</w:t>
      </w:r>
    </w:p>
    <w:p>
      <w:r>
        <w:rPr/>
        <w:t>SMCI Gross Margin FY2025A — Source: SMCI-US Income Statement Annual · Value: 0.11 · Year: FY2025A · Format: percent</w:t>
      </w:r>
    </w:p>
    <w:p>
      <w:r>
        <w:rPr/>
        <w:t>SMCI Gross Margin FY2026E — Assumption: Gradual recovery to 18% by FY2030E · Value: 0.122 · Year: FY2026E · Format: percent</w:t>
      </w:r>
    </w:p>
    <w:p>
      <w:r>
        <w:rPr/>
        <w:t>SMCI Gross Margin FY2027E — Assumption: Gradual recovery to 18% by FY2030E · Value: 0.134 · Year: FY2027E · Format: percent</w:t>
      </w:r>
    </w:p>
    <w:p>
      <w:r>
        <w:rPr/>
        <w:t>SMCI Gross Margin FY2028E — Assumption: Gradual recovery to 18% by FY2030E · Value: 0.146 · Year: FY2028E · Format: percent</w:t>
      </w:r>
    </w:p>
    <w:p>
      <w:r>
        <w:rPr/>
        <w:t>SMCI Gross Margin FY2029E — Assumption: Gradual recovery to 18% by FY2030E · Value: 0.158 · Year: FY2029E · Format: percent</w:t>
      </w:r>
    </w:p>
    <w:p>
      <w:r>
        <w:rPr/>
        <w:t>SMCI Gross Margin FY2030E — Assumption: Long-term historical average · Value: 0.18 · Year: FY2030E · Format: percent</w:t>
      </w:r>
    </w:p>
    <w:p>
      <w:r>
        <w:rPr/>
        <w:t>SMCI DSO FY2023A — Source: SMCI-US Balance Sheet &amp; Income Statement · Value: 56.8 · Unit: days · Year: FY2023A · Calc: AR / Revenue * 365</w:t>
      </w:r>
    </w:p>
    <w:p>
      <w:r>
        <w:rPr/>
        <w:t>SMCI DSO FY2024A — Source: SMCI-US Balance Sheet &amp; Income Statement · Value: 59.4 · Unit: days · Year: FY2024A · Calc: AR / Revenue * 365</w:t>
      </w:r>
    </w:p>
    <w:p>
      <w:r>
        <w:rPr/>
        <w:t>SMCI DSO FY2025A — Source: SMCI-US Balance Sheet &amp; Income Statement · Value: 65 · Unit: days · Year: FY2025A · Calc: AR / Revenue * 365</w:t>
      </w:r>
    </w:p>
    <w:p>
      <w:r>
        <w:rPr/>
        <w:t>SMCI DSO 3yr Average (Projection) — Source: 3-year historical average · Unit: days · Value: 60.4 · Use: BS AR projection = Revenue * DSO / 365</w:t>
      </w:r>
    </w:p>
    <w:p>
      <w:r>
        <w:rPr/>
        <w:t>SMCI DIO FY2023A — Source: SMCI-US Balance Sheet &amp; Income Statement · Unit: days · Value: 80 · Year: FY2023A · Calc: Inventory / COGS * 365</w:t>
      </w:r>
    </w:p>
    <w:p>
      <w:r>
        <w:rPr/>
        <w:t>SMCI DIO FY2024A — Source: SMCI-US Balance Sheet &amp; Income Statement · Unit: days · Value: 85 · Year: FY2024A · Calc: Inventory / COGS * 365</w:t>
      </w:r>
    </w:p>
    <w:p>
      <w:r>
        <w:rPr/>
        <w:t>SMCI DIO FY2025A — Source: SMCI-US Balance Sheet &amp; Income Statement · Unit: days · Value: 90 · Year: FY2025A · Calc: Inventory / COGS * 365</w:t>
      </w:r>
    </w:p>
    <w:p>
      <w:r>
        <w:rPr/>
        <w:t>SMCI DIO 3yr Average (Projection) — Source: 3-year historical average · Unit: days · Value: 85 · Use: BS Inventory projection = COGS * DIO / 365</w:t>
      </w:r>
    </w:p>
    <w:p>
      <w:r>
        <w:rPr/>
        <w:t>SMCI DPO FY2023A — Source: SMCI-US Balance Sheet &amp; Income Statement · Unit: days · Value: 45 · Year: FY2023A · Calc: AP / COGS * 365</w:t>
      </w:r>
    </w:p>
    <w:p>
      <w:r>
        <w:rPr/>
        <w:t>SMCI DPO FY2024A — Source: SMCI-US Balance Sheet &amp; Income Statement · Unit: days · Value: 50 · Year: FY2024A · Calc: AP / COGS * 365</w:t>
      </w:r>
    </w:p>
    <w:p>
      <w:r>
        <w:rPr/>
        <w:t>SMCI DPO FY2025A — Source: SMCI-US Balance Sheet &amp; Income Statement · Unit: days · Value: 55 · Year: FY2025A · Calc: AP / COGS * 365</w:t>
      </w:r>
    </w:p>
    <w:p>
      <w:r>
        <w:rPr/>
        <w:t>SMCI DPO 3yr Average (Projection) — Source: 3-year historical average · Unit: days · Value: 50 · Use: BS AP projection = COGS * DPO / 365</w:t>
      </w:r>
    </w:p>
    <w:p>
      <w:r>
        <w:rPr/>
        <w:t>SMCI SBC FY2025A — Source: SMCI-US Cash Flow Statement · Unit: $mm · Value: 250 · Year: FY2025A · Note: Held constant as % of revenue for projections</w:t>
      </w:r>
    </w:p>
    <w:p>
      <w:r>
        <w:rPr/>
        <w:t>SMCI SBC % of Revenue FY2025A — Source: SMCI-US Cash Flow Statement &amp; Income Statement · Value: 0.0114 · Year: FY2025A · Format: percent · Note: Held constant for projection periods</w:t>
      </w:r>
    </w:p>
    <w:p>
      <w:r>
        <w:rPr/>
        <w:t>SMCI SBC FY2026E — Assumption: SBC% of revenue held at FY2025A level · Unit: $mm · Value: 410.4 · Year: FY2026E</w:t>
      </w:r>
    </w:p>
    <w:p>
      <w:r>
        <w:rPr/>
        <w:t>SMCI SBC FY2027E — Assumption: SBC% of revenue held at FY2025A level · Unit: $mm · Value: 632 · Year: FY2027E</w:t>
      </w:r>
    </w:p>
    <w:p>
      <w:r>
        <w:rPr/>
        <w:t>SMCI SBC FY2028E — Assumption: SBC% of revenue held at FY2025A level · Unit: $mm · Value: 910.1 · Year: FY2028E</w:t>
      </w:r>
    </w:p>
    <w:p>
      <w:r>
        <w:rPr/>
        <w:t>SMCI SBC FY2029E — Assumption: SBC% of revenue held at FY2025A level · Unit: $mm · Value: 1219.5 · Year: FY2029E</w:t>
      </w:r>
    </w:p>
    <w:p>
      <w:r>
        <w:rPr/>
        <w:t>SMCI SBC FY2030E — Assumption: SBC% of revenue held at FY2025A level · Unit: $mm · Value: 1512.2 · Year: FY2030E</w:t>
      </w:r>
    </w:p>
    <w:p>
      <w:r>
        <w:rPr/>
        <w:t>SMCI APIC FY2025A — Source: SMCI-US Balance Sheet · Unit: $mm · Value: 800 · Year: FY2025A · Note: Common Stock/APIC; increases each period by SBC + Stock Option Proceeds</w:t>
      </w:r>
    </w:p>
    <w:p>
      <w:r>
        <w:rPr/>
        <w:t>SMCI APIC FY2026E — Calc: Prior APIC + SBC + Stock Option Proceeds · Unit: $mm · Value: 1410.4 · Year: FY2026E</w:t>
      </w:r>
    </w:p>
    <w:p>
      <w:r>
        <w:rPr/>
        <w:t>SMCI APIC FY2027E — Calc: Prior APIC + SBC + Stock Option Proceeds · Unit: $mm · Value: 2242.4 · Year: FY2027E</w:t>
      </w:r>
    </w:p>
    <w:p>
      <w:r>
        <w:rPr/>
        <w:t>SMCI APIC FY2028E — Calc: Prior APIC + SBC + Stock Option Proceeds · Unit: $mm · Value: 3352.5 · Year: FY2028E</w:t>
      </w:r>
    </w:p>
    <w:p>
      <w:r>
        <w:rPr/>
        <w:t>SMCI APIC FY2029E — Calc: Prior APIC + SBC + Stock Option Proceeds · Unit: $mm · Value: 4822 · Year: FY2029E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btb-eeba6325: SMCI Three-Statement Operating Model with AI Context (FY2026E–FY2030E)</dc:title>
  <dc:creator>NodeAgent</dc:creator>
</cp:coreProperties>
</file>