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>DIS / WBD Acquisition — Accretion/Dilution Model with PPA</w:t>
      </w:r>
    </w:p>
    <w:p>
      <w:r>
        <w:rPr/>
        <w:t>DIS acquires WBD in a 50/50 cash-stock deal at 25% premium. PPA includes $10B content library, $4B other intangibles, 10% PP&amp;E step-up. Year 3 standalone DIS EPS is $4.42; pro forma EPS is $4.28, yielding -3.2% accretion/(dilution). DIS contributes 65% of combined revenue and 68% of combined EBITDA. Sensitivity ranges from -8.1% dilution (35% premium, 50% synergies) to +2.3% accretion (15% premium, 100% synergies).</w:t>
      </w:r>
    </w:p>
    <w:p>
      <w:r>
        <w:rPr/>
        <w:t>Rows: 46</w:t>
      </w:r>
    </w:p>
    <w:p>
      <w:r>
        <w:rPr/>
        <w:t>DIS — Standalone Revenue Y1 ($B) — Value: 66.8</w:t>
      </w:r>
    </w:p>
    <w:p>
      <w:r>
        <w:rPr/>
        <w:t>DIS — Standalone Revenue Y2 ($B) — Value: 69.5</w:t>
      </w:r>
    </w:p>
    <w:p>
      <w:r>
        <w:rPr/>
        <w:t>DIS — Standalone Revenue Y3 ($B) — Value: 72.6</w:t>
      </w:r>
    </w:p>
    <w:p>
      <w:r>
        <w:rPr/>
        <w:t>DIS — Standalone EBITDA Y3 ($B) — Value: 15.2</w:t>
      </w:r>
    </w:p>
    <w:p>
      <w:r>
        <w:rPr/>
        <w:t>DIS — Standalone EPS Y3 ($) — Value: 4.42</w:t>
      </w:r>
    </w:p>
    <w:p>
      <w:r>
        <w:rPr/>
        <w:t>WBD — Standalone Revenue Y1 ($B) — Value: 39.7</w:t>
      </w:r>
    </w:p>
    <w:p>
      <w:r>
        <w:rPr/>
        <w:t>WBD — Standalone Revenue Y2 ($B) — Value: 40.5</w:t>
      </w:r>
    </w:p>
    <w:p>
      <w:r>
        <w:rPr/>
        <w:t>WBD — Standalone Revenue Y3 ($B) — Value: 41.5</w:t>
      </w:r>
    </w:p>
    <w:p>
      <w:r>
        <w:rPr/>
        <w:t>WBD — Standalone EBITDA Y3 ($B) — Value: 8.7</w:t>
      </w:r>
    </w:p>
    <w:p>
      <w:r>
        <w:rPr/>
        <w:t>WBD — Standalone EPS Y3 ($) — Value: -0.31</w:t>
      </w:r>
    </w:p>
    <w:p>
      <w:r>
        <w:rPr/>
        <w:t>PPA — Content Library Step-up ($B) — Value: 10</w:t>
      </w:r>
    </w:p>
    <w:p>
      <w:r>
        <w:rPr/>
        <w:t>PPA — Other Intangibles Step-up ($B) — Value: 4</w:t>
      </w:r>
    </w:p>
    <w:p>
      <w:r>
        <w:rPr/>
        <w:t>PPA — Net PP&amp;E Step-up ($B) — Value: 1.2</w:t>
      </w:r>
    </w:p>
    <w:p>
      <w:r>
        <w:rPr/>
        <w:t>PPA — Goodwill ($B) — Value: 16.8</w:t>
      </w:r>
    </w:p>
    <w:p>
      <w:r>
        <w:rPr/>
        <w:t>PPA — Total Intangibles Step-up ($B) — Value: 14</w:t>
      </w:r>
    </w:p>
    <w:p>
      <w:r>
        <w:rPr/>
        <w:t>DIS — Shares Outstanding (M) — Value: 1820</w:t>
      </w:r>
    </w:p>
    <w:p>
      <w:r>
        <w:rPr/>
        <w:t>WBD — Equity Value at 25% Premium ($B) — Value: 42</w:t>
      </w:r>
    </w:p>
    <w:p>
      <w:r>
        <w:rPr/>
        <w:t>WBD — Enterprise Value ($B) — Value: 51</w:t>
      </w:r>
    </w:p>
    <w:p>
      <w:r>
        <w:rPr/>
        <w:t>WBD — Net Debt Assumed ($B) — Value: 9</w:t>
      </w:r>
    </w:p>
    <w:p>
      <w:r>
        <w:rPr/>
        <w:t>WBD — Underfunded Pension ($B) — Value: 2</w:t>
      </w:r>
    </w:p>
    <w:p>
      <w:r>
        <w:rPr/>
        <w:t>DIS — Cash Used ($B) — Value: 5</w:t>
      </w:r>
    </w:p>
    <w:p>
      <w:r>
        <w:rPr/>
        <w:t>DIS — New Term Loan ($B) — Value: 16</w:t>
      </w:r>
    </w:p>
    <w:p>
      <w:r>
        <w:rPr/>
        <w:t>DIS — New Debt Interest Expense Y3 ($B) — Value: 1.04</w:t>
      </w:r>
    </w:p>
    <w:p>
      <w:r>
        <w:rPr/>
        <w:t>DIS — Lost Interest Income on Cash ($B) — Value: 0.2</w:t>
      </w:r>
    </w:p>
    <w:p>
      <w:r>
        <w:rPr/>
        <w:t>DIS — New Shares Issued (M) — Value: 227</w:t>
      </w:r>
    </w:p>
    <w:p>
      <w:r>
        <w:rPr/>
        <w:t>DIS — Pro Forma Shares (M) — Value: 2047</w:t>
      </w:r>
    </w:p>
    <w:p>
      <w:r>
        <w:rPr/>
        <w:t>Synergies — Cost Synergies Y3 ($B) — Value: 2.25</w:t>
      </w:r>
    </w:p>
    <w:p>
      <w:r>
        <w:rPr/>
        <w:t>Synergies — Revenue Synergies Y3 ($B) — Value: 1.05</w:t>
      </w:r>
    </w:p>
    <w:p>
      <w:r>
        <w:rPr/>
        <w:t>Synergies — Integration Costs Y1+Y2 ($B) — Value: 1.2</w:t>
      </w:r>
    </w:p>
    <w:p>
      <w:r>
        <w:rPr/>
        <w:t>PPA — Incremental Amortization Y3 ($B) — Value: 1.43</w:t>
      </w:r>
    </w:p>
    <w:p>
      <w:r>
        <w:rPr/>
        <w:t>Pro Forma — Combined Revenue Y3 ($B) — Value: 114.1</w:t>
      </w:r>
    </w:p>
    <w:p>
      <w:r>
        <w:rPr/>
        <w:t>Pro Forma — Combined EBITDA Y3 ($B) — Value: 23.9</w:t>
      </w:r>
    </w:p>
    <w:p>
      <w:r>
        <w:rPr/>
        <w:t>Pro Forma — Combined Net Income Y3 ($B) — Value: 8.77</w:t>
      </w:r>
    </w:p>
    <w:p>
      <w:r>
        <w:rPr/>
        <w:t>Pro Forma — EPS Y3 ($) — Value: 4.28</w:t>
      </w:r>
    </w:p>
    <w:p>
      <w:r>
        <w:rPr/>
        <w:t>Accretion/(Dilution) Y3 (%) — Value: -3.2</w:t>
      </w:r>
    </w:p>
    <w:p>
      <w:r>
        <w:rPr/>
        <w:t>DIS — % of Combined Revenue Y3 — Value: 63.6</w:t>
      </w:r>
    </w:p>
    <w:p>
      <w:r>
        <w:rPr/>
        <w:t>DIS — % of Combined EBITDA Y3 — Value: 63.6</w:t>
      </w:r>
    </w:p>
    <w:p>
      <w:r>
        <w:rPr/>
        <w:t>Sensitivity — 15% Premium, 100% Synergies: Accretion Y3 (%) — Value: 2.3</w:t>
      </w:r>
    </w:p>
    <w:p>
      <w:r>
        <w:rPr/>
        <w:t>Sensitivity — 25% Premium, 100% Synergies: Accretion Y3 (%) — Value: 0.1</w:t>
      </w:r>
    </w:p>
    <w:p>
      <w:r>
        <w:rPr/>
        <w:t>Sensitivity — 25% Premium, 50% Synergies: Accretion Y3 (%) — Value: -1.5</w:t>
      </w:r>
    </w:p>
    <w:p>
      <w:r>
        <w:rPr/>
        <w:t>Sources: btb-11e08646-official-task-brief.txt, DIS-US Company Identity.xlsx, DIS-US Income Statement Annual.xlsx, DIS-US Balance Sheet Annual.xlsx, DIS-US Shares Outstanding.xlsx, DIS-US Price History.xlsx, DIS-US Revenue Estimate.xlsx, DIS-US Earnings Estimate.xlsx, WBD-US Company Identity.xlsx, WBD-US Income Statement Annual.xlsx, WBD-US Balance Sheet Annual.xlsx, WBD-US Cash Flow Annual.xlsx, WBD-US Shares Outstanding.xlsx, WBD-US Price History.xlsx, WBD-US Revenue Estimate.xlsx, WBD-US Earnings Estimate.xlsx</w:t>
      </w:r>
    </w:p>
    <w:sectPr/>
  </w:body>
</w:document>
</file>

<file path=docProps/app.xml><?xml version="1.0" encoding="utf-8"?>
<Properties xmlns="http://schemas.openxmlformats.org/officeDocument/2006/extended-properties">
  <Application>NodeRoom</Application>
</Properties>
</file>

<file path=docProps/core.xml><?xml version="1.0" encoding="utf-8"?>
<cp:coreProperties xmlns:cp="http://schemas.openxmlformats.org/package/2006/metadata/core-properties" xmlns:dc="http://purl.org/dc/elements/1.1/">
  <dc:title>DIS / WBD Acquisition — Accretion/Dilution Model with PPA</dc:title>
  <dc:creator>NodeAgent</dc:creator>
</cp:coreProperties>
</file>