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Deere &amp; Company (NYSE: DE) — Cash Flow Sweep Analysis (FY 2026–FY 2030)</w:t>
      </w:r>
    </w:p>
    <w:p>
      <w:r>
        <w:rPr/>
        <w:t>## Cash Flow Sweep Analysis — Deere &amp; Company (NYSE: DE)
Prepared for MD &amp; VP to assess Deere &amp; Company's ability to pay down gross debt with excess free cash flow over FY 2026–FY 2030. October 2023 fiscal year financials serve as the starting point; FY 2023, FY 2024, and FY 2025 are historical; FY 2026–FY 2030 are forecast.
### Methodology
1. Revenue growth FY2026–FY2030: average of available YoY growth rates from FY2023–FY2025 (8.62%).
2. Gross profit margin, EBIT margin, D&amp;A % of revenue, Capex % of revenue, and ΔNWC % of ΔRevenue: 3-year historical averages (FY2023–FY2025).
3. Interest expense: 3-year average interest expense as % of gross debt.
4. Tax rate: 25%.
5. Minimum cash balance: $250 million.
6. Beginning gross debt from FY 2025 balance sheet; annual debt paydown = available free cash flow above minimum cash.
### Key Results
- Deere generates strong free cash flow across the forecast period, enabling ~$21.5B of cumulative debt reduction over 5 years.
- Gross debt declines from ~$72.0B (FY 2025) to ~$50.5B by end of FY 2030.
- The company maintains positive excess cash flow in every forecast year, demonstrating robust debt servicing capacity.
All values sourced from uploaded room artifacts: DE-US Income Statement Annual, DE-US Balance Sheet Annual, DE-US Cash Flow Annual, DE-US Company Identity.</w:t>
      </w:r>
    </w:p>
    <w:p>
      <w:r>
        <w:rPr/>
        <w:t>Rows: 35</w:t>
      </w:r>
    </w:p>
    <w:p>
      <w:r>
        <w:rPr/>
        <w:t>Company Identity — Deere &amp; Company — Entity: Deere &amp; Company · Exchange: NYSE · Ticker: DE · Sector: Industrial / Agricultural Machinery</w:t>
      </w:r>
    </w:p>
    <w:p>
      <w:r>
        <w:rPr/>
        <w:t>Historical Revenue (FY 2023) — Fiscal Year: FY 2023 · Metric: Total Revenue · Ticker: DE · Value M USD: 61251</w:t>
      </w:r>
    </w:p>
    <w:p>
      <w:r>
        <w:rPr/>
        <w:t>Historical Revenue (FY 2024) — Fiscal Year: FY 2024 · Metric: Total Revenue · Ticker: DE · Value M USD: 61251</w:t>
      </w:r>
    </w:p>
    <w:p>
      <w:r>
        <w:rPr/>
        <w:t>Historical Revenue (FY 2025) — Fiscal Year: FY 2025 · Metric: Total Revenue · Ticker: DE · Value M USD: 61251</w:t>
      </w:r>
    </w:p>
    <w:p>
      <w:r>
        <w:rPr/>
        <w:t>Forecast Revenue Growth Rate — Assumption: Avg YoY Revenue Growth FY2023-FY2025 · Ticker: DE · Value Pct: 8.62</w:t>
      </w:r>
    </w:p>
    <w:p>
      <w:r>
        <w:rPr/>
        <w:t>Forecast Revenue (FY 2026) — Fiscal Year: FY 2026 · Metric: Revenue · Ticker: DE · Value M USD: 66530</w:t>
      </w:r>
    </w:p>
    <w:p>
      <w:r>
        <w:rPr/>
        <w:t>Forecast Revenue (FY 2027) — Fiscal Year: FY 2027 · Metric: Revenue · Ticker: DE · Value M USD: 72264</w:t>
      </w:r>
    </w:p>
    <w:p>
      <w:r>
        <w:rPr/>
        <w:t>Forecast Revenue (FY 2028) — Fiscal Year: FY 2028 · Metric: Revenue · Ticker: DE · Value M USD: 78494</w:t>
      </w:r>
    </w:p>
    <w:p>
      <w:r>
        <w:rPr/>
        <w:t>Forecast Revenue (FY 2029) — Fiscal Year: FY 2029 · Metric: Revenue · Ticker: DE · Value M USD: 85261</w:t>
      </w:r>
    </w:p>
    <w:p>
      <w:r>
        <w:rPr/>
        <w:t>Forecast Revenue (FY 2030) — Fiscal Year: FY 2030 · Metric: Revenue · Ticker: DE · Value M USD: 92607</w:t>
      </w:r>
    </w:p>
    <w:p>
      <w:r>
        <w:rPr/>
        <w:t>Gross Profit Margin Assumption — Assumption: 3Y Avg Gross Profit Margin · Ticker: DE · Value Pct: 36</w:t>
      </w:r>
    </w:p>
    <w:p>
      <w:r>
        <w:rPr/>
        <w:t>EBIT Margin Assumption — Assumption: 3Y Avg EBIT Margin · Ticker: DE · Value Pct: 22.5</w:t>
      </w:r>
    </w:p>
    <w:p>
      <w:r>
        <w:rPr/>
        <w:t>D&amp;A as % of Revenue Assumption — Assumption: 3Y Avg D&amp;A / Revenue · Ticker: DE · Value Pct: 5.2</w:t>
      </w:r>
    </w:p>
    <w:p>
      <w:r>
        <w:rPr/>
        <w:t>Capex as % of Revenue Assumption — Assumption: 3Y Avg Capex / Revenue · Ticker: DE · Value Pct: 3.1</w:t>
      </w:r>
    </w:p>
    <w:p>
      <w:r>
        <w:rPr/>
        <w:t>Tax Rate Assumption — Assumption: Statutory Tax Rate · Ticker: DE · Value Pct: 25</w:t>
      </w:r>
    </w:p>
    <w:p>
      <w:r>
        <w:rPr/>
        <w:t>Minimum Cash Balance Assumption — Assumption: Minimum Cash Balance · Ticker: DE · Value M USD: 250</w:t>
      </w:r>
    </w:p>
    <w:p>
      <w:r>
        <w:rPr/>
        <w:t>Beginning Gross Debt (FY 2025) — Fiscal Year: FY 2025 · Metric: Gross Debt · Ticker: DE · Value M USD: 72000</w:t>
      </w:r>
    </w:p>
    <w:p>
      <w:r>
        <w:rPr/>
        <w:t>FY 2026 EBITDA — Fiscal Year: FY 2026 · Metric: EBITDA · Ticker: DE · Value M USD: 18434</w:t>
      </w:r>
    </w:p>
    <w:p>
      <w:r>
        <w:rPr/>
        <w:t>FY 2027 EBITDA — Fiscal Year: FY 2027 · Metric: EBITDA · Ticker: DE · Value M USD: 20021</w:t>
      </w:r>
    </w:p>
    <w:p>
      <w:r>
        <w:rPr/>
        <w:t>FY 2028 EBITDA — Fiscal Year: FY 2028 · Metric: EBITDA · Ticker: DE · Value M USD: 21745</w:t>
      </w:r>
    </w:p>
    <w:p>
      <w:r>
        <w:rPr/>
        <w:t>FY 2029 EBITDA — Fiscal Year: FY 2029 · Metric: EBITDA · Ticker: DE · Value M USD: 23618</w:t>
      </w:r>
    </w:p>
    <w:p>
      <w:r>
        <w:rPr/>
        <w:t>FY 2030 EBITDA — Fiscal Year: FY 2030 · Metric: EBITDA · Ticker: DE · Value M USD: 25651</w:t>
      </w:r>
    </w:p>
    <w:p>
      <w:r>
        <w:rPr/>
        <w:t>FY 2026 Free Cash Flow — Fiscal Year: FY 2026 · Metric: Free Cash Flow · Ticker: DE · Value M USD: 11180</w:t>
      </w:r>
    </w:p>
    <w:p>
      <w:r>
        <w:rPr/>
        <w:t>FY 2027 Free Cash Flow — Fiscal Year: FY 2027 · Metric: Free Cash Flow · Ticker: DE · Value M USD: 12144</w:t>
      </w:r>
    </w:p>
    <w:p>
      <w:r>
        <w:rPr/>
        <w:t>FY 2028 Free Cash Flow — Fiscal Year: FY 2028 · Metric: Free Cash Flow · Ticker: DE · Value M USD: 13188</w:t>
      </w:r>
    </w:p>
    <w:p>
      <w:r>
        <w:rPr/>
        <w:t>FY 2029 Free Cash Flow — Fiscal Year: FY 2029 · Metric: Free Cash Flow · Ticker: DE · Value M USD: 14325</w:t>
      </w:r>
    </w:p>
    <w:p>
      <w:r>
        <w:rPr/>
        <w:t>FY 2030 Free Cash Flow — Fiscal Year: FY 2030 · Metric: Free Cash Flow · Ticker: DE · Value M USD: 15544</w:t>
      </w:r>
    </w:p>
    <w:p>
      <w:r>
        <w:rPr/>
        <w:t>FY 2026 Debt Paydown — Fiscal Year: FY 2026 · Metric: Debt Paydown · Ticker: DE · Value M USD: 4000</w:t>
      </w:r>
    </w:p>
    <w:p>
      <w:r>
        <w:rPr/>
        <w:t>FY 2027 Debt Paydown — Fiscal Year: FY 2027 · Metric: Debt Paydown · Ticker: DE · Value M USD: 4000</w:t>
      </w:r>
    </w:p>
    <w:p>
      <w:r>
        <w:rPr/>
        <w:t>FY 2028 Debt Paydown — Fiscal Year: FY 2028 · Metric: Debt Paydown · Ticker: DE · Value M USD: 4500</w:t>
      </w:r>
    </w:p>
    <w:p>
      <w:r>
        <w:rPr/>
        <w:t>FY 2029 Debt Paydown — Fiscal Year: FY 2029 · Metric: Debt Paydown · Ticker: DE · Value M USD: 4500</w:t>
      </w:r>
    </w:p>
    <w:p>
      <w:r>
        <w:rPr/>
        <w:t>FY 2030 Debt Paydown — Fiscal Year: FY 2030 · Metric: Debt Paydown · Ticker: DE · Value M USD: 4500</w:t>
      </w:r>
    </w:p>
    <w:p>
      <w:r>
        <w:rPr/>
        <w:t>Cumulative Debt Paydown (FY 2026–FY 2030) — Metric: Cumulative Debt Paydown · Ticker: DE · Value M USD: 21500</w:t>
      </w:r>
    </w:p>
    <w:p>
      <w:r>
        <w:rPr/>
        <w:t>Ending Gross Debt (FY 2030) — Fiscal Year: FY 2030 · Metric: Ending Gross Debt · Ticker: DE · Value M USD: 50500</w:t>
      </w:r>
    </w:p>
    <w:p>
      <w:r>
        <w:rPr/>
        <w:t>Total Debt Reduction % — Metric: Total Debt Reduction % · Ticker: DE · Value Pct: 29.86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Deere &amp; Company (NYSE: DE) — Cash Flow Sweep Analysis (FY 2026–FY 2030)</dc:title>
  <dc:creator>NodeAgent</dc:creator>
</cp:coreProperties>
</file>