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Shake Shack LBO — Debt Structure &amp; Credit Metrics (btb-1d073c85)</w:t>
      </w:r>
    </w:p>
    <w:p>
      <w:r>
        <w:rPr/>
        <w:t>Key Debt Structure Parameters for Shake Shack LBO Analysis (btb-1d073c85)</w:t>
      </w:r>
    </w:p>
    <w:p>
      <w:r>
        <w:rPr/>
        <w:t>Rows: 3</w:t>
      </w:r>
    </w:p>
    <w:p>
      <w:r>
        <w:rPr/>
        <w:t>LTV Term Loan % — Value: 0.4 · Unit: % · Detail: Sponsor-requested 40% LTV term loan</w:t>
      </w:r>
    </w:p>
    <w:p>
      <w:r>
        <w:rPr/>
        <w:t>RCF Capacity (turns of EBITDA) — Value: 1 · Unit: turns · Detail: 1 turn of revolver capacity</w:t>
      </w:r>
    </w:p>
    <w:p>
      <w:r>
        <w:rPr/>
        <w:t>SOFR (3-month term) — Value: 0.036 · Unit: % · Detail: 3-month term SOFR held flat at 3.6% throughout projection period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Shake Shack LBO — Debt Structure &amp; Credit Metrics (btb-1d073c85)</dc:title>
  <dc:creator>NodeAgent</dc:creator>
</cp:coreProperties>
</file>