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OXY $2.5B 10-Year Senior Unsecured Issuance — Rating Agency Presentation</w:t>
      </w:r>
    </w:p>
    <w:p>
      <w:r>
        <w:rPr/>
        <w:t>Investment Banking Analyst (DCM) deliverable for Occidental Petroleum (NYSE: OXY) — $2.5B 10-year senior unsecured bond issuance Rating Agency Presentation. Prepared for Moody's, S&amp;P, and Fitch. As-of date: 1/20/2025; latest fiscal year: FY2024A.\n\nCOVERAGE: DCM (Debt Capital Markets — analyst function preparing this presentation), NYSE (exchange listing for OXY common stock), OXY (Occidental Petroleum, the issuer/client), FCF (Free Cash Flow — key credit metric bridged from CFO − Capex and used in FCF/Debt ratios).\n\nKEY OUTPUTS COMPUTED FROM UPLOADED SOURCE FILES:\n• Key Credit Metrics table FY2021A–FY2024A: Revenue, EBITDA, CFO, Capex, FCF, Total Debt (excl. leases), Cash, Net Debt, Net Debt/EBITDA, EBITDA/Interest.\n• Price history volatility proxy: beginning price, ending price, % change, max intra-period drawdown per year FY2021A–FY2024A.\n• CFO→FCF bridge: CFO − Capex = FCF, then dividends/buybacks FY2021A–FY2024A.\n• Debt maturity schedule from OXY 10-K (year-bucketed amounts, secured vs unsecured).\n• 12-month Sources &amp; Uses table (1/20/2025–1/19/2026): cash, new issuance proceeds, revolver availability, projected CFO, maturities, capex, dividends.\n• Pro forma credit impact: $2.5B unsecured notes added 1/20/2026; earliest maturities refinanced; residual cash to balance sheet; interest held constant at weighted average rate of remaining unsecured debt.\n• Pre vs Post metrics: Net Debt/EBITDA, EBITDA/Interest, FCF/Debt (pre as of 12/31/2024).\n• Base vs Downside: EBITDA decline = largest YoY % decline FY2021A–FY2024A applied.\n• Appendix: definitions of EBITDA, Net Debt, FCF, Interest Expense; Actual/Pre/Post pro forma metric table.\n\nDELIVERABLES: .xlsx (credit metrics workbook), .xlsm (pro forma model), .pptx (8-slide deck), .docx (analyst memo), .pdf (presentation export), manifest.json.</w:t>
      </w:r>
    </w:p>
    <w:p>
      <w:r>
        <w:rPr/>
        <w:t>Rows: 18</w:t>
      </w:r>
    </w:p>
    <w:p>
      <w:r>
        <w:rPr/>
        <w:t>Issuer &amp; Listing — Company: Occidental Petroleum · Ticker: OXY · Exchange: NYSE · Role: DCM — Rating Agency Presentation · Use Of Proceeds: $2.5B 10-Year Senior Unsecured — refinance earliest maturities, extend duration · As Of Date: 1/20/2025</w:t>
      </w:r>
    </w:p>
    <w:p>
      <w:r>
        <w:rPr/>
        <w:t>Key Credit Metrics — FY2021A — Revenue USDmm: 19922 · EBITDA USDmm: 13319 · CFO USDmm: 10635 · Capex USDmm: 5792 · FCF USDmm: 4843 · Total Debt Excl Leases USDmm: 37541 · Cash USDmm: 2101 · Net Debt USDmm: 35440 · Net Debt EBITDA X: 2.66 · EBITDA Interest X: 5.14</w:t>
      </w:r>
    </w:p>
    <w:p>
      <w:r>
        <w:rPr/>
        <w:t>Key Credit Metrics — FY2022A — Revenue USDmm: 32475 · EBITDA USDmm: 21201 · CFO USDmm: 14129 · Capex USDmm: 4992 · FCF USDmm: 9137 · Total Debt Excl Leases USDmm: 33942 · Cash USDmm: 2495 · Net Debt USDmm: 31447 · Net Debt EBITDA X: 1.48 · EBITDA Interest X: 7.40</w:t>
      </w:r>
    </w:p>
    <w:p>
      <w:r>
        <w:rPr/>
        <w:t>Key Credit Metrics — FY2023A — Revenue USDmm: 28702 · EBITDA USDmm: 16858 · CFO USDmm: 12598 · Capex USDmm: 6274 · FCF USDmm: 6324 · Total Debt Excl Leases USDmm: 26891 · Cash USDmm: 2889 · Net Debt USDmm: 24002 · Net Debt EBITDA X: 1.42 · EBITDA Interest X: 6.79</w:t>
      </w:r>
    </w:p>
    <w:p>
      <w:r>
        <w:rPr/>
        <w:t>Key Credit Metrics — FY2024A — Revenue USDmm: 27202 · EBITDA USDmm: 14273 · CFO USDmm: 11648 · Capex USDmm: 7142 · FCF USDmm: 4506 · Total Debt Excl Leases USDmm: 24631 · Cash USDmm: 3205 · Net Debt USDmm: 21426 · Net Debt EBITDA X: 1.50 · EBITDA Interest X: 5.67</w:t>
      </w:r>
    </w:p>
    <w:p>
      <w:r>
        <w:rPr/>
        <w:t>Price History Volatility Proxy — FY2021A — Beginning Price USD: 20.39 · Ending Price USD: 27.63 · Pct Change: 35.5% · Max Drawdown: 11.4%</w:t>
      </w:r>
    </w:p>
    <w:p>
      <w:r>
        <w:rPr/>
        <w:t>Price History Volatility Proxy — FY2022A — Beginning Price USD: 27.53 · Ending Price USD: 58.26 · Pct Change: 111.7% · Max Drawdown: 18.9%</w:t>
      </w:r>
    </w:p>
    <w:p>
      <w:r>
        <w:rPr/>
        <w:t>Price History Volatility Proxy — FY2023A — Beginning Price USD: 57.98 · Ending Price USD: 55.10 · Pct Change: -5.0% · Max Drawdown: 15.7%</w:t>
      </w:r>
    </w:p>
    <w:p>
      <w:r>
        <w:rPr/>
        <w:t>Price History Volatility Proxy — FY2024A — Beginning Price USD: 55.28 · Ending Price USD: 48.70 · Pct Change: -11.9% · Max Drawdown: 14.2%</w:t>
      </w:r>
    </w:p>
    <w:p>
      <w:r>
        <w:rPr/>
        <w:t>CFO to FCF Bridge — FY2021A — CFO USDmm: 10635 · Capex USDmm: 5792 · FCF USDmm: 4843 · Dividends USDmm: 1248 · Buybacks USDmm: 0</w:t>
      </w:r>
    </w:p>
    <w:p>
      <w:r>
        <w:rPr/>
        <w:t>CFO to FCF Bridge — FY2022A — CFO USDmm: 14129 · Capex USDmm: 4992 · FCF USDmm: 9137 · Dividends USDmm: 1295 · Buybacks USDmm: 0</w:t>
      </w:r>
    </w:p>
    <w:p>
      <w:r>
        <w:rPr/>
        <w:t>CFO to FCF Bridge — FY2023A — CFO USDmm: 12598 · Capex USDmm: 6274 · FCF USDmm: 6324 · Dividends USDmm: 1380 · Buybacks USDmm: 1330</w:t>
      </w:r>
    </w:p>
    <w:p>
      <w:r>
        <w:rPr/>
        <w:t>CFO to FCF Bridge — FY2024A — CFO USDmm: 11648 · Capex USDmm: 7142 · FCF USDmm: 4506 · Dividends USDmm: 1420 · Buybacks USDmm: 0</w:t>
      </w:r>
    </w:p>
    <w:p>
      <w:r>
        <w:rPr/>
        <w:t>12-Month Sources &amp; Uses (1/20/2025–1/19/2026) — Sources Cash USDmm: 3205 · Sources New Issuance USDmm: 2500 · Sources Revolver Avail USDmm: 3000 · Sources Projected CFO USDmm: 11000 · Sources Total USDmm: 19705 · Uses Near Term Maturities USDmm: 2000 · Uses Capex USDmm: 7000 · Uses Dividends USDmm: 1400 · Uses Total USDmm: 10400 · Liquidity Headroom USDmm: 9305</w:t>
      </w:r>
    </w:p>
    <w:p>
      <w:r>
        <w:rPr/>
        <w:t>Pro Forma — Pre vs Post (as of 12/31/2024) — Metric Net Debt EBITDA Pre: 1.50 · Metric Net Debt EBITDA Post: 1.67 · Metric EBITDA Interest Pre: 5.67 · Metric EBITDA Interest Post: 5.67 · Metric FCF Debt Pre: 18.3% · Metric FCF Debt Post: 17.2%</w:t>
      </w:r>
    </w:p>
    <w:p>
      <w:r>
        <w:rPr/>
        <w:t>Pro Forma — Base vs Downside — Scenario Base EBITDA USDmm: 14273 · Scenario Downside EBITDA USDmm: 12040 · EBITDA Decline Pct: -15.6% · Downside Net Debt EBITDA: 1.98 · Downside EBITDA Interest: 4.79</w:t>
      </w:r>
    </w:p>
    <w:p>
      <w:r>
        <w:rPr/>
        <w:t>Appendix — Actual/Pre/Post Metric Table — Metric Net Debt EBITDA Actual FY2024: 1.50 · Metric Net Debt EBITDA Pre: 1.50 · Metric Net Debt EBITDA Post: 1.67 · Metric EBITDA Interest Actual FY2024: 5.67 · Metric EBITDA Interest Pre: 5.67 · Metric EBITDA Interest Post: 5.67 · Metric FCF Debt Actual FY2024: 18.3% · Metric FCF Debt Pre: 18.3% · Metric FCF Debt Post: 17.2%</w:t>
      </w:r>
    </w:p>
    <w:p>
      <w:r>
        <w:rPr/>
        <w:t>Defined Credit Terms (Appendix) — EBITDA: Operating Income + D&amp;A + non-recurring items; non-GAAP · Net Debt: Total Debt (excl. leases) − Cash &amp; Equivalents · FCF: Cash from Operations − Capital Expenditures · Interest Expense: Cost of debt on all interest-bearing obligations · Net Leverage: Net Debt / EBITDA · Interest Coverage: EBITDA / Interest Expense · FCF To Debt: FCF / Total Debt (excl. leases)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OXY $2.5B 10-Year Senior Unsecured Issuance — Rating Agency Presentation</dc:title>
  <dc:creator>NodeAgent</dc:creator>
</cp:coreProperties>
</file>