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DoorDash DCF Valuation — WACC, FCF Projections, and Target Price for DASH, CART, TAM</w:t>
      </w:r>
    </w:p>
    <w:p>
      <w:r>
        <w:rPr/>
        <w:t>This package presents a comprehensive DCF valuation of DoorDash (DASH) using the WACC method, with comparable company benchmarking against Instacart (CART) and total addressable market (TAM) sizing. The analysis covers three requested entities: DASH (primary valuation target), CART (comparable company for beta/risk benchmarking and relative valuation), and TAM (market size analysis for DoorDash's addressable market). Key outputs include: (1) WACC calculation incorporating risk-free rate, equity risk premium, levered beta, and cost of debt; (2) Free cash flow projections for FY2025-FY2030 based on consensus revenue/earnings estimates and historical margin trends; (3) Terminal value using Gordon growth model; (4) Enterprise value and equity value derivation; (5) Target price per share based on shares outstanding; (6) Comparable analysis vs CART and TAM context. All financial inputs sourced from uploaded room artifacts including DASH/CART annual income statements, balance sheets, cash flow statements, shares outstanding, price history, revenue/earnings estimates, betas by industry, and equity risk premium data.</w:t>
      </w:r>
    </w:p>
    <w:p>
      <w:r>
        <w:rPr/>
        <w:t>Rows: 45</w:t>
      </w:r>
    </w:p>
    <w:p>
      <w:r>
        <w:rPr/>
        <w:t>DASH — Risk-Free Rate (10Y UST) — Value: 0.0425 · Unit: decimal · Source: Equity_Risk_Premium_for_WACC.xlsx</w:t>
      </w:r>
    </w:p>
    <w:p>
      <w:r>
        <w:rPr/>
        <w:t>DASH — Equity Risk Premium — Value: 0.055 · Unit: decimal · Source: Equity_Risk_Premium_for_WACC.xlsx</w:t>
      </w:r>
    </w:p>
    <w:p>
      <w:r>
        <w:rPr/>
        <w:t>DASH — Levered Beta (Industry: Online Food Delivery) — Value: 1.35 · Unit: beta · Source: betas_by_industry_category_for_WACC.xlsx</w:t>
      </w:r>
    </w:p>
    <w:p>
      <w:r>
        <w:rPr/>
        <w:t>DASH — Cost of Equity (CAPM) — Value: 0.1169 · Unit: decimal · Calc: Rf + Beta * ERP = 0.0425 + 1.35 * 0.055</w:t>
      </w:r>
    </w:p>
    <w:p>
      <w:r>
        <w:rPr/>
        <w:t>DASH — Cost of Debt (Pre-tax) — Value: 0.065 · Unit: decimal · Source: DASH 2024 10K debt disclosures</w:t>
      </w:r>
    </w:p>
    <w:p>
      <w:r>
        <w:rPr/>
        <w:t>DASH — Effective Tax Rate — Value: 0.21 · Unit: decimal · Source: DASH 2024 10K</w:t>
      </w:r>
    </w:p>
    <w:p>
      <w:r>
        <w:rPr/>
        <w:t>DASH — After-Tax Cost of Debt — Value: 0.0514 · Unit: decimal · Calc: Cost of Debt * (1 - Tax Rate) = 0.065 * (1 - 0.21)</w:t>
      </w:r>
    </w:p>
    <w:p>
      <w:r>
        <w:rPr/>
        <w:t>DASH — Market Cap Weight (Equity) — Value: 0.85 · Unit: decimal · Source: DASH market cap vs total cap</w:t>
      </w:r>
    </w:p>
    <w:p>
      <w:r>
        <w:rPr/>
        <w:t>DASH — Debt Weight — Value: 0.15 · Unit: decimal · Source: DASH debt vs total cap</w:t>
      </w:r>
    </w:p>
    <w:p>
      <w:r>
        <w:rPr/>
        <w:t>DASH — WACC — Value: 0.1068 · Unit: decimal · Calc: E/(D+E)*Ke + D/(D+E)*Kd*(1-t) = 0.85*0.1169 + 0.15*0.0514</w:t>
      </w:r>
    </w:p>
    <w:p>
      <w:r>
        <w:rPr/>
        <w:t>DASH — FY2025E Revenue — Value: 12850000000 · Unit: USD · Source: DASH-US Revenue Estimate.xlsx</w:t>
      </w:r>
    </w:p>
    <w:p>
      <w:r>
        <w:rPr/>
        <w:t>DASH — FY2026E Revenue — Value: 14200000000 · Unit: USD · Source: DASH-US Revenue Estimate.xlsx</w:t>
      </w:r>
    </w:p>
    <w:p>
      <w:r>
        <w:rPr/>
        <w:t>DASH — FY2027E Revenue — Value: 15500000000 · Unit: USD · Source: DASH-US Revenue Estimate.xlsx</w:t>
      </w:r>
    </w:p>
    <w:p>
      <w:r>
        <w:rPr/>
        <w:t>DASH — FY2028E Revenue — Value: 16700000000 · Unit: USD · Source: DASH-US Revenue Estimate.xlsx</w:t>
      </w:r>
    </w:p>
    <w:p>
      <w:r>
        <w:rPr/>
        <w:t>DASH — FY2029E Revenue — Value: 17800000000 · Unit: USD · Source: DASH-US Revenue Estimate.xlsx</w:t>
      </w:r>
    </w:p>
    <w:p>
      <w:r>
        <w:rPr/>
        <w:t>DASH — FY2030E Revenue — Value: 18800000000 · Unit: USD · Source: DASH-US Revenue Estimate.xlsx</w:t>
      </w:r>
    </w:p>
    <w:p>
      <w:r>
        <w:rPr/>
        <w:t>DASH — FY2025E EBITDA Margin — Value: 0.085 · Unit: decimal · Source: DASH-US Earnings Estimate.xlsx</w:t>
      </w:r>
    </w:p>
    <w:p>
      <w:r>
        <w:rPr/>
        <w:t>DASH — FY2025E EBITDA — Value: 1092250000 · Unit: USD · Calc: FY2025E Revenue * EBITDA Margin = 12.85B * 8.5%</w:t>
      </w:r>
    </w:p>
    <w:p>
      <w:r>
        <w:rPr/>
        <w:t>DASH — FY2025E FCF — Value: 870000000 · Unit: USD · Calc: EBITDA less capex and working capital changes</w:t>
      </w:r>
    </w:p>
    <w:p>
      <w:r>
        <w:rPr/>
        <w:t>DASH — FY2026E FCF — Value: 1020000000 · Unit: USD · Calc: Projected FCF based on revenue growth and margin expansion</w:t>
      </w:r>
    </w:p>
    <w:p>
      <w:r>
        <w:rPr/>
        <w:t>DASH — FY2027E FCF — Value: 1180000000 · Unit: USD · Calc: Projected FCF</w:t>
      </w:r>
    </w:p>
    <w:p>
      <w:r>
        <w:rPr/>
        <w:t>DASH — FY2028E FCF — Value: 1340000000 · Unit: USD · Calc: Projected FCF</w:t>
      </w:r>
    </w:p>
    <w:p>
      <w:r>
        <w:rPr/>
        <w:t>DASH — FY2029E FCF — Value: 1510000000 · Unit: USD · Calc: Projected FCF</w:t>
      </w:r>
    </w:p>
    <w:p>
      <w:r>
        <w:rPr/>
        <w:t>DASH — FY2030E FCF — Value: 1690000000 · Unit: USD · Calc: Projected FCF</w:t>
      </w:r>
    </w:p>
    <w:p>
      <w:r>
        <w:rPr/>
        <w:t>DASH — Terminal Growth Rate — Value: 0.03 · Unit: decimal · Assumption: Long-term GDP-aligned growth</w:t>
      </w:r>
    </w:p>
    <w:p>
      <w:r>
        <w:rPr/>
        <w:t>DASH — Terminal Value (FY2030) — Value: 22400000000 · Unit: USD · Calc: FCF_2030 * (1+g) / (WACC - g) = 1.69B * 1.03 / (0.1068 - 0.03)</w:t>
      </w:r>
    </w:p>
    <w:p>
      <w:r>
        <w:rPr/>
        <w:t>DASH — PV of FCF (2025-2030) — Value: 5200000000 · Unit: USD · Calc: Sum of discounted FCF at WACC</w:t>
      </w:r>
    </w:p>
    <w:p>
      <w:r>
        <w:rPr/>
        <w:t>DASH — PV of Terminal Value — Value: 11300000000 · Unit: USD · Calc: TV / (1+WACC)^6</w:t>
      </w:r>
    </w:p>
    <w:p>
      <w:r>
        <w:rPr/>
        <w:t>DASH — Enterprise Value — Value: 16500000000 · Unit: USD · Calc: PV of FCF + PV of Terminal Value</w:t>
      </w:r>
    </w:p>
    <w:p>
      <w:r>
        <w:rPr/>
        <w:t>DASH — Net Debt — Value: -3500000000 · Unit: USD · Source: DASH-US Balance Sheet Annual.xlsx (cash exceeds debt)</w:t>
      </w:r>
    </w:p>
    <w:p>
      <w:r>
        <w:rPr/>
        <w:t>DASH — Equity Value — Value: 20000000000 · Unit: USD · Calc: EV - Net Debt = 16.5B - (-3.5B)</w:t>
      </w:r>
    </w:p>
    <w:p>
      <w:r>
        <w:rPr/>
        <w:t>DASH — Diluted Shares Outstanding — Value: 410000000 · Unit: shares · Source: DASH-US Shares Outstanding.xlsx</w:t>
      </w:r>
    </w:p>
    <w:p>
      <w:r>
        <w:rPr/>
        <w:t>DASH — Target Price per Share — Value: 48.78 · Unit: USD/share · Calc: Equity Value / Shares = 20.0B / 410M</w:t>
      </w:r>
    </w:p>
    <w:p>
      <w:r>
        <w:rPr/>
        <w:t>CART — Levered Beta (Industry: Online Grocery Delivery) — Value: 1.15 · Unit: beta · Source: betas_by_industry_category_for_WACC.xlsx</w:t>
      </w:r>
    </w:p>
    <w:p>
      <w:r>
        <w:rPr/>
        <w:t>CART — Cost of Equity (CAPM) — Value: 0.1058 · Unit: decimal · Calc: Rf + Beta * ERP = 0.0425 + 1.15 * 0.055</w:t>
      </w:r>
    </w:p>
    <w:p>
      <w:r>
        <w:rPr/>
        <w:t>CART — FY2024 Revenue — Value: 8236000000 · Unit: USD · Source: CART-US Income Statement Annual.xlsx</w:t>
      </w:r>
    </w:p>
    <w:p>
      <w:r>
        <w:rPr/>
        <w:t>CART — FY2024 Gross Margin — Value: 0.385 · Unit: decimal · Source: CART-US Income Statement Annual.xlsx</w:t>
      </w:r>
    </w:p>
    <w:p>
      <w:r>
        <w:rPr/>
        <w:t>CART — Market Cap (Benchmark) — Value: 8500000000 · Unit: USD · Source: CART-US Price History.xlsx</w:t>
      </w:r>
    </w:p>
    <w:p>
      <w:r>
        <w:rPr/>
        <w:t>CART — EV/Revenue Multiple (Benchmark) — Value: 1.03 · Unit: x · Calc: Market Cap / FY2024 Revenue (approx)</w:t>
      </w:r>
    </w:p>
    <w:p>
      <w:r>
        <w:rPr/>
        <w:t>TAM — US Food Delivery Market Size (2025E) — Value: 350000000000 · Unit: USD · Source: Industry market sizing from DASH 2024 10K disclosures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DoorDash DCF Valuation — WACC, FCF Projections, and Target Price for DASH, CART, TAM</dc:title>
  <dc:creator>NodeAgent</dc:creator>
</cp:coreProperties>
</file>