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WACC Analysis — btb-42449f25</w:t>
      </w:r>
    </w:p>
    <w:p>
      <w:r>
        <w:rPr/>
        <w:t>BTB task btb-42449f25 — WACC calculation using uploaded industry beta and equity risk premium source files. Rows contain computed WACC components and final WACC values.</w:t>
      </w:r>
    </w:p>
    <w:p>
      <w:r>
        <w:rPr/>
        <w:t>Rows: 1</w:t>
      </w:r>
    </w:p>
    <w:p>
      <w:r>
        <w:rPr/>
        <w:t>Risk-Free Rate — Value: 0.0425 · Unit: decimal · Source: task brief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WACC Analysis — btb-42449f25</dc:title>
  <dc:creator>NodeAgent</dc:creator>
</cp:coreProperties>
</file>